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8" w:rsidRPr="00DA7FE6" w:rsidRDefault="000B7298" w:rsidP="006F7A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  <w:r w:rsidR="006F7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ПОЧЕПСКОГО </w:t>
      </w: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6F7AEF" w:rsidP="006F7A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</w:t>
      </w:r>
      <w:r w:rsidR="000B7298"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B7298" w:rsidRPr="00DA7FE6" w:rsidRDefault="000B7298" w:rsidP="006F7A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B7298" w:rsidRPr="00DA7FE6" w:rsidRDefault="000B7298" w:rsidP="006F7A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6F7AEF" w:rsidRDefault="00EA3454" w:rsidP="00EA3454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«30» марта 2016 года   </w:t>
      </w:r>
      <w:r w:rsidR="006F7A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AEF" w:rsidRPr="006F7AE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0B7298" w:rsidRPr="006F7AEF" w:rsidRDefault="006F7AEF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6F7AEF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6F7AEF">
        <w:rPr>
          <w:rFonts w:ascii="Times New Roman" w:eastAsia="Times New Roman" w:hAnsi="Times New Roman" w:cs="Times New Roman"/>
          <w:sz w:val="16"/>
          <w:szCs w:val="16"/>
          <w:lang w:eastAsia="ru-RU"/>
        </w:rPr>
        <w:t>.П</w:t>
      </w:r>
      <w:proofErr w:type="gramEnd"/>
      <w:r w:rsidRPr="006F7AEF">
        <w:rPr>
          <w:rFonts w:ascii="Times New Roman" w:eastAsia="Times New Roman" w:hAnsi="Times New Roman" w:cs="Times New Roman"/>
          <w:sz w:val="16"/>
          <w:szCs w:val="16"/>
          <w:lang w:eastAsia="ru-RU"/>
        </w:rPr>
        <w:t>очепское</w:t>
      </w:r>
      <w:proofErr w:type="spellEnd"/>
    </w:p>
    <w:p w:rsidR="000B7298" w:rsidRPr="006F7AEF" w:rsidRDefault="000B7298" w:rsidP="00DA7FE6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7298" w:rsidRPr="00DA7FE6" w:rsidRDefault="0061162A" w:rsidP="00DA7FE6">
      <w:pPr>
        <w:spacing w:before="240" w:after="6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подготовке </w:t>
      </w:r>
      <w:r w:rsidR="00A3768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проекта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изменений в решение Совета  народных депутатов </w:t>
      </w:r>
      <w:r w:rsidR="006F7A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6F7A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r w:rsidR="006F7A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proofErr w:type="spellStart"/>
      <w:r w:rsidR="006F7A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5F0A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17</w:t>
      </w:r>
      <w:r w:rsidR="006F7AE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5F0A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сентября 2012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г. №</w:t>
      </w:r>
      <w:r w:rsidR="005F0A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77</w:t>
      </w:r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«Об утверждении  Правил благоустройства </w:t>
      </w:r>
      <w:proofErr w:type="spellStart"/>
      <w:r w:rsidR="005F0A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Почепского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="005F0A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</w:t>
      </w:r>
      <w:proofErr w:type="spellEnd"/>
      <w:r w:rsidR="000B7298"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района»</w:t>
      </w:r>
    </w:p>
    <w:p w:rsidR="000B7298" w:rsidRPr="00DA7FE6" w:rsidRDefault="000B7298" w:rsidP="00DA7FE6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6F7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Совет народных депутатов </w:t>
      </w:r>
      <w:proofErr w:type="spellStart"/>
      <w:r w:rsidR="005F0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Почепского</w:t>
      </w:r>
      <w:proofErr w:type="spellEnd"/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0B7298" w:rsidRPr="00DA7FE6" w:rsidRDefault="000B7298" w:rsidP="00DA7FE6">
      <w:pPr>
        <w:spacing w:after="0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3768D" w:rsidRPr="00A3768D" w:rsidRDefault="00A3768D" w:rsidP="00611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Правил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</w:t>
      </w:r>
      <w:proofErr w:type="spellStart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A34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</w:t>
      </w:r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</w:t>
      </w:r>
      <w:proofErr w:type="spellEnd"/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A3768D" w:rsidRPr="00A3768D" w:rsidRDefault="00A3768D" w:rsidP="00A376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учета предложений по проекту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 w:rsidR="0061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Назначить публичные слушания по обсуждению проекта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 </w:t>
      </w:r>
      <w:r w:rsid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в </w:t>
      </w:r>
      <w:r w:rsidRP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>15.00 час. в</w:t>
      </w:r>
      <w:r w:rsidR="0061162A" w:rsidRP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админист</w:t>
      </w:r>
      <w:r w:rsidR="00097017" w:rsidRP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017" w:rsidRP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09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</w:t>
      </w:r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Почепское</w:t>
      </w:r>
      <w:proofErr w:type="spellEnd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3768D" w:rsidRP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решение.</w:t>
      </w:r>
    </w:p>
    <w:p w:rsidR="000B7298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Default="00A3768D" w:rsidP="00A37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В.И.Бокова</w:t>
      </w:r>
    </w:p>
    <w:p w:rsidR="00A3768D" w:rsidRPr="00DA7FE6" w:rsidRDefault="00A3768D" w:rsidP="00A37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Pr="00DA7FE6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                   </w:t>
      </w:r>
      <w:r w:rsidR="005F0A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В.А.Ковалев</w:t>
      </w:r>
    </w:p>
    <w:p w:rsidR="00A3768D" w:rsidRPr="00DA7FE6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3768D" w:rsidRDefault="00A3768D" w:rsidP="00A37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2A" w:rsidRDefault="006116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162A" w:rsidRDefault="0061162A" w:rsidP="006116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68D" w:rsidRDefault="0061162A" w:rsidP="0061162A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1162A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Правила благоустройства</w:t>
      </w:r>
    </w:p>
    <w:p w:rsidR="00A3768D" w:rsidRPr="00DA7FE6" w:rsidRDefault="0061162A" w:rsidP="0061162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(проект)</w:t>
      </w:r>
    </w:p>
    <w:p w:rsidR="00DA7FE6" w:rsidRPr="00DA7FE6" w:rsidRDefault="00C53499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2 «Основные понятия» пунктами 2.17. – 2.23. следующего содержания: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«2.17.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Фасад –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элементы фасадов – стены, крыши, окна, витрины, входы, балконы и лоджии.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Дополнительное оборудование фасадов – системы технического обеспечения внутренней эксплуатации здания (сооружения) и элементы муниципального и технического оборудования, размещаемые на фасадах (антенны, таксофоны, видеокамеры и т.д.).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элементы и устройства фасадов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не включающие сведения рекламного характера, содержащие информацию об органах местного самоуправления, юридических и физических лицах или индивидуальных предпринимателях, а также сведения, раскрытие или распространение либо доведение до потребителей (третьих лиц) которых является обязательным в соответствии с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2.21.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 конструкции на фасадах –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мероприятию, на формирование или поддержание интереса к нему и его продвижение на рынке.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2.22.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Изменение фасада здания (сооружения): 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реконструкция фасада, связанная с изменением характера использования помещений;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цветового решения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дополнительного оборудования фасадов, информационных элементов и устройств фасадов, рекламных конструкций, иных элементов, допустимых к размещению на фасадах зданий (сооружений).</w:t>
      </w:r>
    </w:p>
    <w:p w:rsidR="00C53499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2.23.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Архитектурно-градостроительный облик объекта – совокупность композиционных приемов и фасадных решений здания (сооружения) (в том числе – колористическое решение фасадов с учетом архитектурно-художественной подсветки и размещения на фасадах рекламы и информации), отражающая конструктивные и эстетические качества фасада здания (сооружения) в окружающей градостроительной среде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B0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3499" w:rsidRPr="00DA7FE6" w:rsidRDefault="000B7298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3499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разделом №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решения о согласовании архитектурно-градостроительного облика объекта» </w:t>
      </w:r>
      <w:r w:rsidR="00DA7FE6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Предоставление решения о согласовании архитектурно - градостроительного облика объекта.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К зданиям и сооружениям, фасады которых определяют архитектурный облик поселковой застройки, относятся все, расположенные на территории  муниципального образования (эксплуатируемые, строящиеся, реконструируемые или капитально ремонтируемые):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административного и общественно-культурного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жилые здания,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строительстве которых застройщик по собственной инициативе вправе обеспечить подготовку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здания и сооружения производственного назначения;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нестационарные (некапитальные) объекты;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ограды и другие стационарные архитектурные формы, размещенные на прилегающих к зданиям земельных участках.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 Собственники либо иные лица по соглашению с собственниками, уполномоченные в силу действующего законодательства или на основании договоров содержать здания и сооружения (за исключением объектов индивидуального жилищного строительства), обязаны: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иметь утвержденную проектную документацию, отражающую архитектурные, цветовые (колористические), световые и прочие решения внешнего оформления фасадов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содержать фасады объекта в состоянии, соответствующем утвержденной проектной документации;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отсутствие на фасадах и ограждениях объекта видимых загрязнений и повреждений, в том числе разрушений отделочного слоя, водосточных труб, воронок или выпусков;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изменять внешнее оформление и оборудование фасадов объекта только после  получения решения о  согласовании архитектурно-градостроительного облика объекта;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выполнять иные требования по содержанию фасадов и ограждений объекта, установленные нормативными правовыми актами Российской Федерации, настоящими Правилами, иными муниципальными правовыми актами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Понятие архитектурно-градостроительного облика включает в себя архитектурное и колористическое решение фасадов объектов, а также архитектурно-художественную подсветку фасадов и размещение на фасадах рекламы и информации.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Архитектурно-градостроительный облик объекта подлежит согласованию с администрацией  муниципального образования  в порядке, установленным настоящими Правилами и административным регламентом. Цветовое решение фасадов зданий и сооружений проектируется с учетом концепции общего цветового решения застройки улиц  муниципального образования, утвержденной постановлением администрации  муниципального образования.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 согласованию архитектурно-градостроительного облика распространяется на вновь строящиеся здания и сооружения, а также на здания и сооружения при реконструкции или капитальном ремонте которых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полностью или частично меняется их внешнее оформление и оборудование (за исключением объектов индивидуального жилищного строительства).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Под изменением внешнего вида фасадов понимается: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цветового решения и рисунка фасада, его частей;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замена облицовочного материала;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существенные изменения одного из фасадов или большого участка фасадов здания (секции, этажа, в том числе цокольного, технического, пристроенного), в том числе в части создания, изменения или ликвидации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принципиальные изменения приемов архитектурно-художественного освещения и праздничной подсветки фасадов (при их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принципиальные изменения решений комплексного проекта размещения на фасадах рекламы и информации (при его наличии);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7) любое существенное изменение фасадов зданий и сооружений, ориентированных на улицы, разграничивающих жилые кварталы, вдоль площадей, парков, скверов, набережных и других общественных территорий города (или хорошо просматриваемых с них), вследствие несанкционированных изменений фасадов или их отдельных частей, а также несанкционированной установки на фасадах различного вида оборудования, или произвольного размещения на них объектов рекламы и информации.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При новом строительстве разработка и предоставление материалов, отражающих архитектурно-градостроительный облик объекта, является обязанностью заказчика (застройщика).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11.6. При изменении внешнего оформления и оборудования здания или сооружения при проведении его реконструкции или капитального ремонта, разработка и представление материалов, отражающих архитектурно-градостроительный облик объекта после вносимых изменений, является обязанностью собственника данного объекта, либо лица или организации, действующего по соответствующему поручению или договору с собственником. При наличии нескольких собственников решение о выполнении реконструкции или капитального ремонта, затрагивающих внешнее оформление фасадов объекта, должно быть согласовано всеми собственниками (согласование с собственниками многоквартирных жилых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домов должно осуществляться в порядке, установленном Жилищным кодексом РФ).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11.7. Согласование архитектурно-градостроительного облика объекта осуществляется на основании заявления, подаваемого в бумажной или электронной форме, в 30-дневный срок и предусматривает наличие: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 (для физического лица) или подтверждающего полномочия (для юридического лица);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доверенности,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оформленную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(при обращении лица, уполномоченного заявителем);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юридических лиц (для юридических лиц) или из Единого государственного реестра индивидуальных предпринимателей (для индивидуальных предпринимателей);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правоустанавливающих документов на земельный участок (при новом строительстве), а также на здание, строение, сооружение (при реконструкции или капитальном ремонте, размещении на фасаде рекламы и информации).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11.8. К материалам согласования архитектурно-градостроительного облика объекта предъявляется следующие общие требования: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 зависимости от размещения, назначения и эксплуатации объекта в материалах согласования должно быть отражено архитектурное и цветовое (колористическое)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(входные группы, крыльца, навесы, козырьки, карнизы, балконы, лоджии, эркеры, веранды, террасы, арки, витрины, окна, двери, декоративные элементы и т.п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оборудования (антенны, водосточные трубы, вентиляционные шахты и решетки, кондиционеры, защитные сетки, солнцезащитные решетки и устройства, домовые знаки и т.п.). Колористическое решение может быть представлено как совместно с 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решением</w:t>
      </w:r>
      <w:proofErr w:type="gram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отдельно от него, в виде паспорта отделки (окраски) фасадов.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зависимости от размещения, назначения, или особенностей эксплуатации объектов в материалах согласования должно быть отражено: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по архитектурно-художественному освещению и праздничной подсветке фасадов, - для объектов, расположенных вдоль улиц, разграничивающих жилые кварталы, вдоль площадей, парков, скверов, набережных и других общественных территорий поселения (или хорошо просматриваемых с них), а также для всех объектов общественного назначения, вне зависимости от места их нахождения (исключением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производственные здания, гаражи, объекты коммунального, складского и инженерного назначения);</w:t>
      </w:r>
      <w:proofErr w:type="gramEnd"/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комплексное решение по размещению на фасадах рекламы и информации, - для объектов, на фасадах которых планируется размещение нескольких рекламных, информационных или декоративных элементов (рекламных вывесок, баннеров, перетяжек, панно, витрин, </w:t>
      </w:r>
      <w:proofErr w:type="spell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крышных</w:t>
      </w:r>
      <w:proofErr w:type="spellEnd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указателей, товарных или фирменных знаков и т.п.).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комплексного решения по размещению на фасадах рекламы и информации необходимо учитывать: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права всех собственников или иных законных владельцев на использование общей собственности (в том числе собственниках жилья в многоквартирных жилых домах);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приемы, заложенные в архитектурном и колористическом решении фасадов;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действующего законодательства о рекламе и технических регламентов.</w:t>
      </w:r>
    </w:p>
    <w:p w:rsidR="00DA7FE6" w:rsidRPr="00DA7FE6" w:rsidRDefault="00DA7FE6" w:rsidP="00DA7FE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  <w:proofErr w:type="gramEnd"/>
    </w:p>
    <w:p w:rsidR="00DA7FE6" w:rsidRPr="00DA7FE6" w:rsidRDefault="00DA7FE6" w:rsidP="00D736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11.9 Согласование архитектурно-градостроительного облика осуществляется бесплатно</w:t>
      </w:r>
      <w:proofErr w:type="gramStart"/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7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7FE6" w:rsidRDefault="00DA7FE6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7FE6">
        <w:rPr>
          <w:rFonts w:ascii="Times New Roman" w:hAnsi="Times New Roman" w:cs="Times New Roman"/>
          <w:sz w:val="28"/>
          <w:szCs w:val="28"/>
        </w:rPr>
        <w:t xml:space="preserve">1.3. Дополнить Правила благоустройства </w:t>
      </w:r>
      <w:proofErr w:type="spellStart"/>
      <w:r w:rsidR="005F0AC9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345FE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A7FE6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DA7FE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приложением № 1 </w:t>
      </w:r>
      <w:r w:rsidR="00345FE8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решению.</w:t>
      </w:r>
    </w:p>
    <w:p w:rsidR="00345FE8" w:rsidRDefault="00345FE8" w:rsidP="00D7362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1.4. Дополнить Правила благоустройства </w:t>
      </w:r>
      <w:proofErr w:type="spellStart"/>
      <w:r w:rsidR="005F0AC9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A7FE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A7FE6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DA7FE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приложением № 2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решению.</w:t>
      </w:r>
    </w:p>
    <w:p w:rsidR="00D73621" w:rsidRPr="00D73621" w:rsidRDefault="00345FE8" w:rsidP="00D73621">
      <w:pPr>
        <w:pStyle w:val="a3"/>
        <w:spacing w:after="0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516738">
        <w:rPr>
          <w:rFonts w:ascii="Times New Roman" w:hAnsi="Times New Roman" w:cs="Times New Roman"/>
          <w:sz w:val="28"/>
          <w:szCs w:val="28"/>
        </w:rPr>
        <w:t xml:space="preserve">Дополнить разделом 12 «Ответственность за несоблюдение требований Правил благоустройства </w:t>
      </w:r>
      <w:proofErr w:type="spellStart"/>
      <w:r w:rsidR="005F0AC9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516738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следующего содержания:</w:t>
      </w:r>
    </w:p>
    <w:p w:rsidR="00345FE8" w:rsidRPr="00DA7FE6" w:rsidRDefault="00345FE8" w:rsidP="00D73621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lastRenderedPageBreak/>
        <w:t xml:space="preserve">«12. Ответственность за несоблюдение требований Правил благоустройства </w:t>
      </w:r>
      <w:proofErr w:type="spellStart"/>
      <w:r w:rsidR="00887525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3621">
        <w:rPr>
          <w:rFonts w:ascii="Times New Roman" w:hAnsi="Times New Roman" w:cs="Times New Roman"/>
          <w:sz w:val="28"/>
          <w:szCs w:val="28"/>
        </w:rPr>
        <w:t>.</w:t>
      </w:r>
    </w:p>
    <w:p w:rsidR="00345FE8" w:rsidRPr="00DA7FE6" w:rsidRDefault="00345FE8" w:rsidP="00D73621">
      <w:pPr>
        <w:pStyle w:val="a3"/>
        <w:numPr>
          <w:ilvl w:val="1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FE6">
        <w:rPr>
          <w:rFonts w:ascii="Times New Roman" w:hAnsi="Times New Roman" w:cs="Times New Roman"/>
          <w:sz w:val="28"/>
          <w:szCs w:val="28"/>
        </w:rPr>
        <w:t xml:space="preserve"> соблюдением требований Правил благоустройства </w:t>
      </w:r>
      <w:proofErr w:type="spellStart"/>
      <w:r w:rsidR="00887525">
        <w:rPr>
          <w:rFonts w:ascii="Times New Roman" w:hAnsi="Times New Roman" w:cs="Times New Roman"/>
          <w:sz w:val="28"/>
          <w:szCs w:val="28"/>
        </w:rPr>
        <w:t>Почепкого</w:t>
      </w:r>
      <w:proofErr w:type="spellEnd"/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администрация </w:t>
      </w:r>
      <w:proofErr w:type="spellStart"/>
      <w:r w:rsidR="00887525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Pr="00DA7FE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45FE8" w:rsidRPr="00516738" w:rsidRDefault="00345FE8" w:rsidP="00D73621">
      <w:pPr>
        <w:pStyle w:val="a3"/>
        <w:numPr>
          <w:ilvl w:val="1"/>
          <w:numId w:val="7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За несоблюдение требований Правил благоустройства юридические и физические лица несут административную ответственность согласно Закону Воронежской области от 31.12.2003 № 74-ОЗ «Об административных правонарушениях на территории Воронежской области»».</w:t>
      </w:r>
    </w:p>
    <w:p w:rsidR="00345FE8" w:rsidRPr="00DA7FE6" w:rsidRDefault="00345FE8" w:rsidP="0061162A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FE8" w:rsidRDefault="00345FE8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345FE8" w:rsidRDefault="00345FE8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73621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Pr="00DA7FE6" w:rsidRDefault="00D73621" w:rsidP="00345FE8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345FE8" w:rsidRDefault="00345FE8" w:rsidP="00DA7FE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345FE8" w:rsidP="00DA7FE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FE8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Pr="00DA7FE6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7FE6" w:rsidRDefault="00DA7FE6" w:rsidP="00D736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населенных пунктов (улиц и номеров </w:t>
      </w:r>
      <w:proofErr w:type="gramStart"/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>домов</w:t>
      </w:r>
      <w:proofErr w:type="gramEnd"/>
      <w:r w:rsidRPr="00345F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территории которых будет осуществляться согласование архитектурно-градостроительного облика объектов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351"/>
        <w:gridCol w:w="2469"/>
        <w:gridCol w:w="2126"/>
      </w:tblGrid>
      <w:tr w:rsidR="00DD6E2F" w:rsidTr="00DD6E2F">
        <w:trPr>
          <w:trHeight w:val="360"/>
        </w:trPr>
        <w:tc>
          <w:tcPr>
            <w:tcW w:w="2410" w:type="dxa"/>
          </w:tcPr>
          <w:p w:rsidR="00DD6E2F" w:rsidRPr="00097017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поселения</w:t>
            </w:r>
          </w:p>
        </w:tc>
        <w:tc>
          <w:tcPr>
            <w:tcW w:w="2351" w:type="dxa"/>
          </w:tcPr>
          <w:p w:rsidR="00DD6E2F" w:rsidRPr="00097017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DD6E2F" w:rsidRPr="00097017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</w:tcPr>
          <w:p w:rsidR="00DD6E2F" w:rsidRPr="00097017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sz w:val="28"/>
                <w:szCs w:val="28"/>
              </w:rPr>
              <w:t>Номера домов</w:t>
            </w:r>
          </w:p>
        </w:tc>
      </w:tr>
      <w:tr w:rsidR="00DD6E2F" w:rsidTr="00DD6E2F">
        <w:trPr>
          <w:trHeight w:val="360"/>
        </w:trPr>
        <w:tc>
          <w:tcPr>
            <w:tcW w:w="2410" w:type="dxa"/>
          </w:tcPr>
          <w:p w:rsidR="00DD6E2F" w:rsidRPr="00097017" w:rsidRDefault="00097017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Почепское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D6E2F" w:rsidRPr="00097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  <w:tc>
          <w:tcPr>
            <w:tcW w:w="2351" w:type="dxa"/>
          </w:tcPr>
          <w:p w:rsidR="00DD6E2F" w:rsidRPr="00097017" w:rsidRDefault="00DD6E2F" w:rsidP="0009701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097017">
              <w:rPr>
                <w:rFonts w:ascii="Times New Roman" w:hAnsi="Times New Roman" w:cs="Times New Roman"/>
                <w:sz w:val="28"/>
                <w:szCs w:val="28"/>
              </w:rPr>
              <w:t>Почепское</w:t>
            </w:r>
            <w:proofErr w:type="spellEnd"/>
          </w:p>
        </w:tc>
        <w:tc>
          <w:tcPr>
            <w:tcW w:w="2469" w:type="dxa"/>
          </w:tcPr>
          <w:p w:rsidR="00DD6E2F" w:rsidRPr="00097017" w:rsidRDefault="00097017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  <w:p w:rsidR="00097017" w:rsidRDefault="00097017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  <w:p w:rsidR="00DD6E2F" w:rsidRPr="00097017" w:rsidRDefault="00097017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2126" w:type="dxa"/>
          </w:tcPr>
          <w:p w:rsidR="00DD6E2F" w:rsidRPr="00097017" w:rsidRDefault="00097017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  <w:p w:rsidR="00DD6E2F" w:rsidRPr="00097017" w:rsidRDefault="00097017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  <w:p w:rsidR="00DD6E2F" w:rsidRPr="00097017" w:rsidRDefault="00DD6E2F" w:rsidP="00DD6E2F">
            <w:pPr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sz w:val="28"/>
                <w:szCs w:val="28"/>
              </w:rPr>
              <w:t>2-18</w:t>
            </w:r>
          </w:p>
        </w:tc>
      </w:tr>
      <w:tr w:rsidR="00DD6E2F" w:rsidTr="00DD6E2F">
        <w:trPr>
          <w:trHeight w:val="360"/>
        </w:trPr>
        <w:tc>
          <w:tcPr>
            <w:tcW w:w="2410" w:type="dxa"/>
          </w:tcPr>
          <w:p w:rsidR="00DD6E2F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51" w:type="dxa"/>
          </w:tcPr>
          <w:p w:rsidR="00DD6E2F" w:rsidRPr="00097017" w:rsidRDefault="00DD6E2F" w:rsidP="00DD6E2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7017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097017"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</w:p>
        </w:tc>
        <w:tc>
          <w:tcPr>
            <w:tcW w:w="2469" w:type="dxa"/>
          </w:tcPr>
          <w:p w:rsidR="00DD6E2F" w:rsidRPr="00097017" w:rsidRDefault="00097017" w:rsidP="0009701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ул. Октябрьская до ул. Юбилейная.</w:t>
            </w:r>
          </w:p>
        </w:tc>
        <w:tc>
          <w:tcPr>
            <w:tcW w:w="2126" w:type="dxa"/>
          </w:tcPr>
          <w:p w:rsidR="00DD6E2F" w:rsidRPr="00097017" w:rsidRDefault="00DD6E2F" w:rsidP="0009701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FE6" w:rsidRPr="00DA7FE6" w:rsidRDefault="00DA7FE6" w:rsidP="0009701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45FE8" w:rsidRDefault="00345FE8" w:rsidP="00345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73621" w:rsidRDefault="00D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3621" w:rsidRDefault="00345FE8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  <w:r w:rsidR="00D736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благоустройства</w:t>
      </w:r>
    </w:p>
    <w:p w:rsidR="00D73621" w:rsidRDefault="00D73621" w:rsidP="00D7362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Требования</w:t>
      </w:r>
    </w:p>
    <w:p w:rsidR="00D73621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к внешнему виду и правила размещения </w:t>
      </w:r>
      <w:proofErr w:type="gramStart"/>
      <w:r w:rsidRPr="00DA7FE6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DA7FE6" w:rsidRDefault="00DA7FE6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 xml:space="preserve"> элементов и устройств, рекламных конструкций на фасадах зданий (сооружений).</w:t>
      </w:r>
    </w:p>
    <w:p w:rsidR="00D73621" w:rsidRPr="00DA7FE6" w:rsidRDefault="00D73621" w:rsidP="00D73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</w:t>
      </w:r>
    </w:p>
    <w:p w:rsidR="00DA7FE6" w:rsidRPr="00DA7FE6" w:rsidRDefault="00DA7FE6" w:rsidP="00DA7FE6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Объекты для размещения информации (ОРИ) – конструкции, размещаемые на фасадах зданий, строений, сооружений с целью раскрытия информации, предусмотренной ст. 9 Закона Российской Федерации от 07.02.1992 №2300-1 «О защите прав потребителей» и соответствующим пунктом местного норматива градостроительного проектирования (при наличии такого документа).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размещения: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настенная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объектов над входом или окнами (витринами), между окнами на расстоянии не более 0,3 м от поверхности стены, в виде фоновой или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бесфоновой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конструкции, светового короба, состоящая из каркаса, информационного поля, содержащего текстовую информацию, декоративные элементы, знаки, и элементов крепления либо изображения, непосредственно нанесенного на поверхность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стены, в то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декоративное панно (подвид настенной конструкции) – информационная конструкция, размещаемая только на фасадах отдельно стоящих объектов торгово-офисного, культурно-развлекательного, производственного, складского и спортивного назначения общей площадью более 1500 м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  <w:r w:rsidRPr="00DA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учрежденческая доска, режимная табличка –  информационные конструкции, предназначенные для доведения до сведения потребителей информации, указание которой является обязательным в соответствии со статьей 9 Федерального закона «О защите прав потребителей», о наименовании организации независимо от ее организационно-правовой формы, индивидуального предпринимателя, месте их нахождения (адресе) и режиме работы, размещаемая на здании, нестационарном торговом объекте или ограждении, справа и (или) слева от основного входа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либо непосредственно на остеклении входных групп (режимная табличка).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консольная конструкция – информационная конструкция, устанавливаемая под прямым углом к плоскости фасада здания, нестационарного торгового объекта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локализованно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, на угловых участках наружной поверхности стены;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крышная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конструкция – объемная информационная конструкция в виде световых букв и символов (логотипов, цифр, знаков, художественных элементов) с внутренней подсветкой, размещаемая организацией, которая занимает всю площадь данного здания или значительную его часть, полностью выше уровня карниза, отделяющего плоскость крыши от стены здания, нестационарного торгового объекта;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длине);</w:t>
      </w:r>
      <w:proofErr w:type="gramEnd"/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ОРИ (носители информации расположены вне поверхности фасада, но композиционно и функционально связаны с ней), в том числе:</w:t>
      </w:r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Стела – отдельно стоящая объемно-пространственная, в индивидуальном исполнении информационная конструкция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содержащего краткую информацию о фирменном наименовании организации, о товарах и услугах (название, логотип);</w:t>
      </w:r>
      <w:proofErr w:type="gramEnd"/>
    </w:p>
    <w:p w:rsidR="00DA7FE6" w:rsidRPr="00DA7FE6" w:rsidRDefault="00DA7FE6" w:rsidP="00DA7FE6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Установки для объявлений, афиш культурных и спортивных мероприятий – тумбы, щиты и стенды, устанавливаемые в местах массового пребывания граждан и в оживленных пешеходных зонах (могут размещаться в виде отдельно стоящих объектов или в виде навесных щитов на зданиях или сооружениях). </w:t>
      </w: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E6">
        <w:rPr>
          <w:rFonts w:ascii="Times New Roman" w:hAnsi="Times New Roman" w:cs="Times New Roman"/>
          <w:sz w:val="28"/>
          <w:szCs w:val="28"/>
        </w:rPr>
        <w:t>Основные виды объектов для размещения информации по характеру информационного поля: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крупные настенные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формируют основную горизонталь рекламно-информационного поля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принадлежат объектам, расположенным в первом этаже на данном участке фасада или занимающим значительную часть здания;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размеры определяются архитектурными членениями фасада;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настенные конструкции (учрежденческая доска; режимная табличка):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в плоскости стены в пределах 1-го этажа рядом с входом в учреждение;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выполняют назначение обязательных вывесок;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– согласно Таблице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1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. 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малые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между 1-м и 2-м этажами в пределах участка фасада, занимаемого владельцем, у входа в здание, а также у арки или на угловом участке фасада (при размещении объекта вне пределов данного фасада не далее 50 м);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дополняют или заменяют настенную конструкцию;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 в условиях ограниченных возможностей размещения и восприятия настенных вывесок;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вертикальные консольные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текстовая и знаковая информация размещена по вертикали;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преимущественно в пределах 2-3 этажей;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принадлежат крупным объектам торговли, сервиса и т.п., расположенным в пределах данного фасада;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предпочтительные места размещения – у боковых границ фасада.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3 м (или высоты 2-го этажа) в границах исторического центра и не более 6 м (или высоты 2-3-го этажей) на остальных территориях;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ширина не более 0,6 м в границах исторического центра и не более 0,8 м на остальных территориях;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для небольших объектов, расположенных компактно в пределах участка фасада – комплектация из ряда модульных элементов, объединенных в блок;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крышные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допускаются только для организаций с особо высоким общественным статусом (крупных учреждений торговли, банков, гостиниц и т.п.), занимающих все здание или значительную его часть;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высота не более 1,5 м в границах исторического центра населенного пункта и не более 2,5 м на остальных территориях (согласованно с вертикальными пропорциями фасада).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витринные конструкции: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рекомендуются при отсутствии мест размещения на фасаде;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являются составной частью оформления витрин;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площадь не более 1/10 поля крупных витрин и не более 1/5 поля небольших оконных проемов (площадью до 3 м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  <w:vertAlign w:val="superscript"/>
        </w:rPr>
        <w:t>2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).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отдельно стоящие конструкции (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штендеры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стелы):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включены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 композицию входов, навесов, ограждений и т.п.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пространственно и композиционно тяготеют к композиции фасада.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флаги, баннеры: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рекламоносителем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является мягкое полотнище;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располагаются рядом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входами, в простенках между витрин, между 1-м и 2-м этажами;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крепятся с помощью флагштоков, консолей и т.п.;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используются в рамках рекламных и сезонных акций, праздничных мероприятий и т.п.</w:t>
      </w:r>
    </w:p>
    <w:p w:rsidR="00DA7FE6" w:rsidRPr="00DA7FE6" w:rsidRDefault="00DA7FE6" w:rsidP="00DA7FE6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маркизы:  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сочетают функции солнцезащитных устройств и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рекламоносителей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имеют преимущественно сезонный характер использования;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располагаются в проемах витрин, над входом;</w:t>
      </w:r>
    </w:p>
    <w:p w:rsidR="00DA7FE6" w:rsidRPr="00DA7FE6" w:rsidRDefault="00DA7FE6" w:rsidP="00DA7FE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 размещается </w:t>
      </w:r>
      <w:bookmarkStart w:id="0" w:name="_Toc440900781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нижней части у кромки маркизы.</w:t>
      </w:r>
    </w:p>
    <w:p w:rsidR="00DA7FE6" w:rsidRPr="00DA7FE6" w:rsidRDefault="00DA7FE6" w:rsidP="00DA7FE6">
      <w:pPr>
        <w:pStyle w:val="a3"/>
        <w:autoSpaceDE w:val="0"/>
        <w:autoSpaceDN w:val="0"/>
        <w:adjustRightInd w:val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содержанию информации, распространяемой посредством объектов для размещения информации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распространяемая посредством объектов для размещения информации, должна соответствовать требованиям Федерального закона от 01.06.2005 №53-ФЗ «О государственном языке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Федерации».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В случаях использования зарегистрированных иностранных товарных знаков или знаков обслуживания, в составе информации ОРИ должен содержаться текст на русском языке,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указывающии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̆ профиль деятельности предприятия (заинтересованного лица, объекта потребительского рынка), тип предоставляемых услуг.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Текст на русском языке о профиле деятельности предприятия, типе предоставляемых услуг должен стилистически соответствовать товарному знаку или знаку обслуживания.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Не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допускается размещение в составе ОРИ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развернутого перечня товаров, услуг, а также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сопутствующеи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информации: описание качеств товара,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рекламнои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информации.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Информация, размещаемая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ОРИ должна быть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достовернои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предприятии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торговли установлены Национальным стандартом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 «Услуги торговли. Классификация предприятий торговли» ГОСТ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51773-2009, утвержденным приказом Федерального агентства по техническому регулированию и метрологии от 15.12.2009 №771-ст.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Типы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предприятии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общественного питания установлены Национальным стандартом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Российскои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̆ Федерации «Услуги общественного питания. Классификация предприятий общественного питания» ГОСТ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50762-2007, утвержденным приказом Федерального агентства по техническому регулированию и метрологии от 27.12.2007 №475-ст. 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Перечень услуг, оказываемых населению, установлен «ОК 002-93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Общероссийский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классификатор услуг населению», утвержденным постановлением Госстандарта России от 28.06.1993 № 163.</w:t>
      </w:r>
    </w:p>
    <w:p w:rsidR="00DA7FE6" w:rsidRPr="00DA7FE6" w:rsidRDefault="00DA7FE6" w:rsidP="00DA7FE6">
      <w:pPr>
        <w:pStyle w:val="a3"/>
        <w:spacing w:after="0"/>
        <w:ind w:left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</w:t>
      </w:r>
      <w:bookmarkEnd w:id="0"/>
    </w:p>
    <w:p w:rsidR="00DA7FE6" w:rsidRPr="00DA7FE6" w:rsidRDefault="00DA7FE6" w:rsidP="00DA7FE6">
      <w:pPr>
        <w:autoSpaceDE w:val="0"/>
        <w:autoSpaceDN w:val="0"/>
        <w:adjustRightInd w:val="0"/>
        <w:ind w:firstLine="708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размещению вывесок на фасадах зданий являются: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расположению объекта;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размещение без ущерба композиции, стилистике, отделке, декоративному убранству фасада, эстетическим качествам уличной среды;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привязка к композиционным осям и ритмической организации фасада, соответствие логике архитектурного решения;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координация вертикального расположения и высотных габаритов в пределах фасада;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сомасштабность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фасаду и архитектурно-пространственному окружению;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 независимо от принадлежности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соответствие условиям восприятия (визуальная доступность, читаемость информации);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приоритет мемориальных объектов (мемориальных и памятных досок, знаков и т.п.)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для людей;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безопасность для физического состояния архитектурных объектов;</w:t>
      </w:r>
    </w:p>
    <w:p w:rsidR="00DA7FE6" w:rsidRPr="00DA7FE6" w:rsidRDefault="00DA7FE6" w:rsidP="00DA7FE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удобство эксплуатации и ремонта.</w:t>
      </w:r>
    </w:p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autoSpaceDE w:val="0"/>
        <w:autoSpaceDN w:val="0"/>
        <w:adjustRightInd w:val="0"/>
        <w:jc w:val="right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Таблица 1.  </w:t>
      </w:r>
    </w:p>
    <w:p w:rsidR="00DA7FE6" w:rsidRPr="00DA7FE6" w:rsidRDefault="00DA7FE6" w:rsidP="00DA7FE6">
      <w:pPr>
        <w:autoSpaceDE w:val="0"/>
        <w:autoSpaceDN w:val="0"/>
        <w:adjustRightInd w:val="0"/>
        <w:ind w:firstLine="709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Правила размещения ОРИ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6"/>
        <w:gridCol w:w="3483"/>
        <w:gridCol w:w="3736"/>
      </w:tblGrid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ОРИ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рекомендовано размещение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не допустимо размещение</w:t>
            </w:r>
            <w:proofErr w:type="gramEnd"/>
          </w:p>
        </w:tc>
      </w:tr>
      <w:tr w:rsidR="00DA7FE6" w:rsidRPr="00DA7FE6" w:rsidTr="003C4226">
        <w:trPr>
          <w:trHeight w:val="552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Крупные настенные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фасадах зданий </w:t>
            </w:r>
            <w:proofErr w:type="spellStart"/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бизнес-центров</w:t>
            </w:r>
            <w:proofErr w:type="spellEnd"/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, коммерческих центров и т.д.,  с учетом большого числа арендаторов – на основе единой концепции;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бетонных козырьках над входами и витринами – в виде единого фриза;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глухих стенах и брандмауэрах – только при наличии входа в учреждение, на высоте, соответствующей уровню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Над арочными проемами – только для  объектов с высоким общественным статусом, размещенных во дворе и занимающих значительную часть здания (по согласованию с уполномоченным органом, при наличии свободного поля на фасаде).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более 0,3 м от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ограждениях балконов, лоджий;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воротах, оградах;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Над арочными проемами (за исключением названных условий).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2/3 от высоты простенка между окнами этажей здания, нестационарного торгового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0,5 м на козырьке;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длину более 15 м и более 70% от длины фасада;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размещении между проемами первого этажа высотой более 0,5 м и длиной более 50% такого проема;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применением не идентичных размеров и шрифтов надписей на разных языках;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Ниже 0,6 м от уровня земли до нижнего края настенной конструкции при размещении на поверхности наружных стен первого, цокольного или подвального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второго этажа при наличии проемов, при отсутствии сплошного остекления, фриза, фронтона;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изображением, непосредственно нанесенным на поверхность стены на фасадах зданий, предполагающих использование других видов настенных конструкций;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фронтоне, фризе верхнего этажа при наличии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крышной</w:t>
            </w:r>
            <w:proofErr w:type="spell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 на данном здании;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Высотой более 0,5 м на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культурного наследия, на исторических зданиях;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более 1,0 м в границах исторических территорий населенного пункта.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настенные конструкции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(учрежденческая доска; режимная табличка)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простенках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рядом с входом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упорядоченно, с соблюдением вертикальных осей, симметрии, архитектурных границ;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1,5 м и не более 2,2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ряда вывесок – скоординировано по высоте, размерам, расположению.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Выше уровня 1-го этажа;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Беспорядочно, без соблюдения вертикальной координации, симметрии, архитектурных границ и осей;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местах расположения архитектурных деталей,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0,6 м и высотой более 0,8 м (учрежденческая доска);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0,4 м и высотой более 0,6 м (режимная табличка);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Длиной более 0,3 м и высотой более 0,2 м (режимная табличка, размещаемая на остеклении входных групп методом нанесения трафаретной печати);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Более двух для одной организации независимо от ее организационно-правовой формы, одного индивидуального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 на одном здании, нестационарном торговом объекте;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Отличающихся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размеру, не идентичных по материалу, из которого изготовлена конструкция;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на остеклении входных групп (двери), выполненной методом нанесения трафаретной печати;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подсветки;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строительных, прозрачных ограждениях, ограждениях лестниц, балконов, лоджий.</w:t>
            </w:r>
          </w:p>
        </w:tc>
      </w:tr>
      <w:tr w:rsidR="00DA7FE6" w:rsidRPr="00DA7FE6" w:rsidTr="003C4226">
        <w:trPr>
          <w:trHeight w:val="4379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Малые консольные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входом;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арочным проемом, на угловом участке фасада (для объектов, расположенных во дворе);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не менее 10 м между соседними консолями;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не менее 2,5 м от уровня тротуара до нижнего края вывески;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уровне размещения настенной вывески;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выступанием внешнего края вывески от стены не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1,1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Для двух и более вывесок, сосредоточенных на локальном участке фасада – в  составе единого вертикального блока.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 уровня между 1-м и 2-м этажами;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непосредственной близости от окон, эркеров, балконов, порталов, элементов скульптурного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балконах, эркерах, витринных конструкциях, оконных рамах;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Вблизи мест расположения дорожных знаков, указателей остановок городского пассажирского транспорта;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мемориальными досками и памятными знаками;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Высотой и длиной более 1,0 м;</w:t>
            </w:r>
          </w:p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Высотой и длиной более 0,5 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объектах культурного наследия, исторических зданиях;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менее 10 м между соседними вывесками;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высоте менее 2,5 м от уровня тротуара;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разных уровнях, без соблюдения вертикальной координации;</w:t>
            </w:r>
            <w:r w:rsidRPr="00DA7F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информации, за исключением консольных конструкций для организаций, осуществляющих банковские операции.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Вертикальные консольные конструкции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У боковых границ, на угловых участках фасада или на границе соседних фасадов;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двух в границах фасада протяженностью до 25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2-го и 3-го этажей;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единой высоте в пределах фасада, с координацией по нижнему краю консоли;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расстоянии от стены не более 0,3 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выступанием внешнего края вывески от стены не более 0,9 м в границах исторического центра и не более 1,1 м – на остальных территориях;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дистанцией от края тротуара до самой выступающей части вывески не менее 0,7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границах архитектурных ансамблей, охранных зон, исторических ландшафтов и т.п.;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центральной части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согласования с вертикальными членениями, пропорциями, архитектурным ритмом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нарушением установленных пределов выступания от поверхности стены;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эркерах;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колоннах, пилястрах;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Рядом с эркерами, балконами и другими выступающими частями фасада.</w:t>
            </w:r>
            <w:proofErr w:type="gramEnd"/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Крышные</w:t>
            </w:r>
            <w:proofErr w:type="spellEnd"/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конструкции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учреждений с высоким общественным статусом, занимающих все здание или большую его часть;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площадях и широких улицах, обеспечивающих условия восприятия;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зданиях, не имеющих выразительного силуэта;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неравномерной высоте застройки – на здании меньшей высоты;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Согласованно с архитектурой фасада (композиционными осями, симметрией);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от карниза не более 1,0 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парапете ограждения кровли (если это не противоречит архитектуре фасада).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границах архитектурных ансамблей, ценных исторических ландшафтов;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памятниках истории и культуры по особому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ущербом силуэтным и пластическим характеристикам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вертикальных доминантах (за исключением районов массовой застройки).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балюстрадах, декоративных ограждениях кровли;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изменением сложившегося силуэта застройки;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высотой текстовой информации: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- более 0,5 м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-, двухэтажных зданий, нестационарных торговых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1,0 м для трех-, пятиэтажных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1,5 м для шести-, девятиэтажных зданий;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длиной: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- более 1/2 длины прямого завершения фасада, по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к которому они размещены;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- более 2/3 длины фрагмента завершения при перепаде высот завершающей части фасада (парапета);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при наличии на данном здании установленной настенной конструкции на фронтоне, фризе верхнего этажа;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Со сменной информацией;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использованием динамического способа передачи информации.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Витрины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плоскости остекления;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внутренней поверхности витрины;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витрины;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сохранением архитектурной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витрин, принадлежащих владельцу (арендатору);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Встроенное размещение в виде светового короба  в верхней части проема - по особому согласованию с уполномоченным органом.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 изменением формы проема;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Неорганизованно, без единого решения всех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 оконном проеме площадью менее 2,0 м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от остекления витрины до витринной конструкции менее 0,15 м со стороны помещения;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Без учета членений оконного переплета;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окраски и покрытия декоративными пленками поверхности остекления витрин;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Путем замены остекления витрин световыми коробами;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динамического способа передачи информации.</w:t>
            </w:r>
          </w:p>
        </w:tc>
      </w:tr>
      <w:tr w:rsidR="00DA7FE6" w:rsidRPr="00DA7FE6" w:rsidTr="003C4226">
        <w:trPr>
          <w:trHeight w:val="2491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Флаги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 объектов с высоким общественным статусом;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период проведения рекламных акций, по согласованию с уполномоченным органом;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У входа, в простенках между витринами;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специально установленных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флагодержателей</w:t>
            </w:r>
            <w:proofErr w:type="spellEnd"/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архитектурных деталей, элементов декора;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</w:t>
            </w:r>
            <w:proofErr w:type="spell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флагодержателей</w:t>
            </w:r>
            <w:proofErr w:type="spell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установки государственных флагов;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учета архитектурной композиции фасада.</w:t>
            </w:r>
          </w:p>
        </w:tc>
      </w:tr>
      <w:tr w:rsidR="00DA7FE6" w:rsidRPr="00DA7FE6" w:rsidTr="003C4226">
        <w:trPr>
          <w:trHeight w:val="3674"/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Баннеры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рекламных акций, по особому согласованию с уполномоченным органом; 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Настенные – при временном отсутствии (на период ремонта, замены) постоянной вывески;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Вертикальные консольные – при отсутствии постоянных консольных вывесок;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Высота вертикальных баннеров не более 2 м, ширина – не более 0,6 м.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Вне установленных сроков;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 соблюдения правил размещения, установленных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постоянных ОРИ.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Маркизы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установленный период;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пределах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1-го этажа, не ниже 2,2 м от уровня тротуара до нижней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формой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Надписи и логотипы – в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части у кромки маркизы;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надписи – не более 1/10 поверхности. 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нарушением архитектурной композиции фасада;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Без единого решения всех проемов;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br/>
              <w:t>С превышением установленного размерного соотношения.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7FE6" w:rsidRPr="00DA7FE6" w:rsidTr="003C4226">
        <w:trPr>
          <w:tblCellSpacing w:w="0" w:type="dxa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Стелы</w:t>
            </w:r>
          </w:p>
        </w:tc>
        <w:tc>
          <w:tcPr>
            <w:tcW w:w="3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принадлежащего собственнику, владельцу, пользователю, на котором располагается здание;</w:t>
            </w:r>
          </w:p>
          <w:p w:rsidR="00DA7FE6" w:rsidRPr="00DA7FE6" w:rsidRDefault="00DA7FE6" w:rsidP="00DA7F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 предпринимателя, а также земельного участка, предоставленного для его эксплуатации или организации парковочных мест;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, когда отсутствует техническая возможность заглубления фундамента без его декоративного оформления;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Ограничивающих восприятие объектов культурного наследия, исторических зданий, культовых объектов;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Более одной либо при наличии иной отдельно стоящей информационной конструкции в границах земельного участка, не предусмотренных проектом такого объекта;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proofErr w:type="gramEnd"/>
            <w:r w:rsidRPr="00DA7FE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участка, занимаемого нестационарным торговым </w:t>
            </w:r>
            <w:r w:rsidRPr="00DA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объектом, индивидуальным или многоквартирным жилым домом;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расстоянии ближе 6,0 м от фундамента конструкции до фундамента здания;</w:t>
            </w:r>
          </w:p>
          <w:p w:rsidR="00DA7FE6" w:rsidRPr="00DA7FE6" w:rsidRDefault="00DA7FE6" w:rsidP="00DA7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FE6">
              <w:rPr>
                <w:rFonts w:ascii="Times New Roman" w:hAnsi="Times New Roman" w:cs="Times New Roman"/>
                <w:sz w:val="28"/>
                <w:szCs w:val="28"/>
              </w:rPr>
              <w:t>На тротуарах и пешеходных дорожках, проездах, местах, предназначенных для парковки и стоянки автомобилей.</w:t>
            </w:r>
          </w:p>
        </w:tc>
      </w:tr>
    </w:tbl>
    <w:p w:rsidR="00DA7FE6" w:rsidRPr="00DA7FE6" w:rsidRDefault="00DA7FE6" w:rsidP="00DA7FE6">
      <w:pPr>
        <w:autoSpaceDE w:val="0"/>
        <w:autoSpaceDN w:val="0"/>
        <w:adjustRightInd w:val="0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:rsidR="00DA7FE6" w:rsidRPr="00DA7FE6" w:rsidRDefault="00DA7FE6" w:rsidP="00DA7FE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Требования к дизайну</w:t>
      </w:r>
    </w:p>
    <w:p w:rsidR="00DA7FE6" w:rsidRPr="00DA7FE6" w:rsidRDefault="00DA7FE6" w:rsidP="00DA7FE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Общими требованиями к дизайну вывесок являются: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высокий уровень художественного и технического исполнения;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качественных материалов с высокими декоративными и эксплуатационными свойствами;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композиционная согласованность в пределах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масштабность по отношению к архитектурному окружению;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цветовая гармония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Материалы, применяемые для изготовления вывесок, должны: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выдерживать длительный срок службы без изменения декоративных и эксплуатационных качеств, с учетом климатических условий территории;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иметь гарантированно длительную антикоррозийную стойкость, светостойкость и влагостойкость.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Конструкции вывесок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наименьшее число точек крепления и сопряжения с фасадом;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легкость монтажа и демонтажа;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ремонтопригодность (возможность замены элементов, блоков, элементов подсветки и т.п.);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безопасность эксплуатации и обслуживания.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Технологии, применяемые при изготовлении вывесок, должны обеспечивать: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ровную окраску;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равномерные зазоры между элементами;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отсутствие внешнего технологического крепежа;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качественную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- и светопередачу надписей и изображений.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Стилистика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ОРИ в исторических районах населенных пунктов должна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определяться архитектурно-художественными особенностями и масштабом фасадов исторических зданий и пространств, носить сдержанный характер, подчеркивающий уникальные черты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районах массовой застройки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оправдано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подчеркнуто современное, акцентное решение ОРИ, отвечающее укрупненному масштабу и характеру архитектурного окружения.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Шрифтовое и художественное решение всех ОРИ, относящихся к объекту, должно выполняться на основе единого проекта и иметь комплексный характер.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Изобразительные элементы могут использоваться как дополнение к текстовой информации. Доминирование их в композиции вывески не рекомендуется.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допустимо применение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переносных стендов, форма которых имеет изобразительный характер (фигуры людей, животных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громоздкие, нарочито стилизованные формы консолей и других вспомогательных элементов;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активная пластика и силуэт ОРИ, </w:t>
      </w: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диссонирующие</w:t>
      </w:r>
      <w:proofErr w:type="gram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с архитектурой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рукописных шрифтов и рисованных фигур, диссонирующих с архитектурой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 характеру устройства различаются: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фоновые вывески (буквы и знаки расположены на поверхности фона);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безфоновые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вывески (состоят из отдельных букв и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световые короба (представляют собой единый объем или ряд объемных элементов с внутренней подсветкой).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Характер устройства вывески определяется местом размещения, композицией фасада, условиями восприятия.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границах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исторического центра предпочтительно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бесфоновое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решение настенных ОРИ, корректное по отношению к архитектуре фасадов.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lastRenderedPageBreak/>
        <w:t>Фоновое решение настенных ОРИ целесообразно при наличии архитектурных полей (свободных участков поверхности над витринами, оформленных профилем, тягами и т.п.).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При наличии архитектурных и декоративных деталей на поверхности фасада возможно использование прозрачного фона, обеспечивающего визуальную проницаемость вывесок.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вертикальных консольных вывесок рекомендуется светлый нейтральный фон.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Настенное размещение световых коробов в районах исторической застройки ограничено.  Условием является включение в композицию фасада и сдержанное </w:t>
      </w:r>
      <w:proofErr w:type="spellStart"/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свето-цветовое</w:t>
      </w:r>
      <w:proofErr w:type="spellEnd"/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решение, не диссонирующее с архитектурным фоном.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Вывески на крыше должны быть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бесфоновыми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>.  Использование фона допускается лишь при размещении вывески на глухом парапете ограждения, без ущерба архитектурному силуэту здания.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окраска поверхности остекления витрин;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некачественных наклеек;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неупорядоченное размещение наклеек, «засорение» поверхности остекления.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Колористика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ОРИ должна отвечать следующим требованиям: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гармония с цветовой гаммой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ограниченное использование ярких насыщенных цветов (в районах исторической застройки допустимо по особому согласованию с уполномоченным органом);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ограниченное использование фирменных цветов и цветосочетаний;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согласованность в пределах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Цвет фона настенных вывесок на фасадах исторических зданий должен быть по тону приближен к цвету стен.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Использование яркого,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Для фона консольных вывесок рекомендуется использование светлых тонов (белого, серебристого, светло-серого, светло-бежевого), в отдельных случаях – доминирующего цвета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Для металлических деталей вывесок рекомендуются цвета: 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 исторических районах: графит, темно-коричневый, темно-зеленый, патинированная бронза, темно-серый;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proofErr w:type="gram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в районах современной застройки: графит, серый, светлые нейтральные.</w:t>
      </w:r>
      <w:proofErr w:type="gramEnd"/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использование цветов, диссонирующих с </w:t>
      </w:r>
      <w:proofErr w:type="spellStart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колористикой</w:t>
      </w:r>
      <w:proofErr w:type="spellEnd"/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фасада;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применение флуоресцентных составов;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цветовое решение малых консольных ОРИ, близкое к цветовой символике дорожных знаков.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В </w:t>
      </w:r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границах</w:t>
      </w:r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исторического центра не допускается: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крупных поверхностей ярких насыщенных цветов;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броское полихромное решение вывесок;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сильных контрастов, «разрушающих» единство архитектурного фона.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Не рекомендуется: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использование темных насыщенных цветов в качестве фона вертикальных консольных ОРИ;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доминирование больших поверхностей белого и черного.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Декоративная подсветка является эстетически и утилитарно значимым элементом дизайна вывесок.  К основным видам подсветки относятся: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наружная подсветка;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знаков;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внутренняя подсветка коробов;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эффект контражура (подсветка фона, обеспечивающая силуэтную читаемость знаков);</w:t>
      </w:r>
    </w:p>
    <w:p w:rsidR="00DA7FE6" w:rsidRPr="00DA7FE6" w:rsidRDefault="00DA7FE6" w:rsidP="00DA7FE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color w:val="231F20"/>
          <w:sz w:val="28"/>
          <w:szCs w:val="28"/>
        </w:rPr>
        <w:t>газосветные устройства (контурная и линейная подсветка, открытый неон).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Светильники наружной подсветки должны иметь малый размер, компактную форму, окраску, близкую к цвету фасада.  Их размещение не должно мешать восприятию фасада и ОРИ.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>Подсветка должна быть равномерной, обеспечивать ясную читаемость информации, композиционное единство вывески и фасада.</w:t>
      </w:r>
    </w:p>
    <w:p w:rsidR="00DA7FE6" w:rsidRPr="00DA7FE6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Световые акценты должны быть скоординированы с архитектурным ритмом и общей </w:t>
      </w:r>
      <w:proofErr w:type="spellStart"/>
      <w:proofErr w:type="gram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свето-цветовой</w:t>
      </w:r>
      <w:proofErr w:type="spellEnd"/>
      <w:proofErr w:type="gram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композицией фасада.</w:t>
      </w:r>
    </w:p>
    <w:p w:rsidR="00EF67A9" w:rsidRDefault="00DA7FE6" w:rsidP="00DA7FE6">
      <w:pPr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Использование </w:t>
      </w:r>
      <w:proofErr w:type="spellStart"/>
      <w:r w:rsidRPr="00DA7FE6">
        <w:rPr>
          <w:rFonts w:ascii="Times New Roman" w:eastAsia="CharterITC-Regular" w:hAnsi="Times New Roman" w:cs="Times New Roman"/>
          <w:sz w:val="28"/>
          <w:szCs w:val="28"/>
        </w:rPr>
        <w:t>свето-динамических</w:t>
      </w:r>
      <w:proofErr w:type="spellEnd"/>
      <w:r w:rsidRPr="00DA7FE6">
        <w:rPr>
          <w:rFonts w:ascii="Times New Roman" w:eastAsia="CharterITC-Regular" w:hAnsi="Times New Roman" w:cs="Times New Roman"/>
          <w:sz w:val="28"/>
          <w:szCs w:val="28"/>
        </w:rPr>
        <w:t xml:space="preserve"> эффектов (мигания, бегущей строки и т.п.)  разрешается только для зре</w:t>
      </w:r>
      <w:r w:rsidR="00D73621">
        <w:rPr>
          <w:rFonts w:ascii="Times New Roman" w:eastAsia="CharterITC-Regular" w:hAnsi="Times New Roman" w:cs="Times New Roman"/>
          <w:sz w:val="28"/>
          <w:szCs w:val="28"/>
        </w:rPr>
        <w:t>лищно-развлекательных объектов</w:t>
      </w:r>
      <w:proofErr w:type="gramStart"/>
      <w:r w:rsidR="00D73621">
        <w:rPr>
          <w:rFonts w:ascii="Times New Roman" w:eastAsia="CharterITC-Regular" w:hAnsi="Times New Roman" w:cs="Times New Roman"/>
          <w:sz w:val="28"/>
          <w:szCs w:val="28"/>
        </w:rPr>
        <w:t>.</w:t>
      </w:r>
      <w:r w:rsidR="0061162A">
        <w:rPr>
          <w:rFonts w:ascii="Times New Roman" w:eastAsia="CharterITC-Regular" w:hAnsi="Times New Roman" w:cs="Times New Roman"/>
          <w:sz w:val="28"/>
          <w:szCs w:val="28"/>
        </w:rPr>
        <w:t>».</w:t>
      </w:r>
      <w:proofErr w:type="gramEnd"/>
    </w:p>
    <w:p w:rsidR="00EF67A9" w:rsidRDefault="00EF67A9">
      <w:pPr>
        <w:rPr>
          <w:rFonts w:ascii="Times New Roman" w:eastAsia="CharterITC-Regular" w:hAnsi="Times New Roman" w:cs="Times New Roman"/>
          <w:sz w:val="28"/>
          <w:szCs w:val="28"/>
        </w:rPr>
      </w:pPr>
      <w:r>
        <w:rPr>
          <w:rFonts w:ascii="Times New Roman" w:eastAsia="CharterITC-Regular" w:hAnsi="Times New Roman" w:cs="Times New Roman"/>
          <w:sz w:val="28"/>
          <w:szCs w:val="28"/>
        </w:rPr>
        <w:br w:type="page"/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harterITC-Regular" w:hAnsi="Times New Roman" w:cs="Times New Roman"/>
          <w:sz w:val="28"/>
          <w:szCs w:val="28"/>
        </w:rPr>
        <w:t>2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 решению Совета народных         депутатов </w:t>
      </w:r>
      <w:proofErr w:type="spellStart"/>
      <w:r w:rsidR="00097017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="00097017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от «</w:t>
      </w:r>
      <w:r w:rsidR="00EA3454">
        <w:rPr>
          <w:rFonts w:ascii="Times New Roman" w:eastAsia="CharterITC-Regular" w:hAnsi="Times New Roman" w:cs="Times New Roman"/>
          <w:sz w:val="28"/>
          <w:szCs w:val="28"/>
        </w:rPr>
        <w:t>30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»</w:t>
      </w:r>
      <w:r w:rsidR="00097017">
        <w:rPr>
          <w:rFonts w:ascii="Times New Roman" w:eastAsia="CharterITC-Regular" w:hAnsi="Times New Roman" w:cs="Times New Roman"/>
          <w:sz w:val="28"/>
          <w:szCs w:val="28"/>
        </w:rPr>
        <w:t>марта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201</w:t>
      </w:r>
      <w:r>
        <w:rPr>
          <w:rFonts w:ascii="Times New Roman" w:eastAsia="CharterITC-Regular" w:hAnsi="Times New Roman" w:cs="Times New Roman"/>
          <w:sz w:val="28"/>
          <w:szCs w:val="28"/>
        </w:rPr>
        <w:t>6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г. №</w:t>
      </w:r>
      <w:r w:rsidR="00097017">
        <w:rPr>
          <w:rFonts w:ascii="Times New Roman" w:eastAsia="CharterITC-Regular" w:hAnsi="Times New Roman" w:cs="Times New Roman"/>
          <w:sz w:val="28"/>
          <w:szCs w:val="28"/>
        </w:rPr>
        <w:t xml:space="preserve"> 39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ПОРЯДОК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Учета предложений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A03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1.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A03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(далее предложения) могут быть направлены жителями </w:t>
      </w:r>
      <w:proofErr w:type="spellStart"/>
      <w:r w:rsidR="00A030E9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2. Предложения принимаются в течение 14 дней со дня о</w:t>
      </w:r>
      <w:r>
        <w:rPr>
          <w:rFonts w:ascii="Times New Roman" w:eastAsia="CharterITC-Regular" w:hAnsi="Times New Roman" w:cs="Times New Roman"/>
          <w:sz w:val="28"/>
          <w:szCs w:val="28"/>
        </w:rPr>
        <w:t>бнародования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проекта</w:t>
      </w:r>
      <w:r w:rsidRPr="00EF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A03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3.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Предложения по проекту изменений </w:t>
      </w:r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A03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представляются в письменной форме на имя председателя Совета народных депутатов </w:t>
      </w:r>
      <w:proofErr w:type="spellStart"/>
      <w:r w:rsidR="00A030E9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в администрацию  </w:t>
      </w:r>
      <w:proofErr w:type="spellStart"/>
      <w:r w:rsidR="00A030E9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в рабочие дни с 8.00 до 12.00 и с 14.00 до</w:t>
      </w:r>
      <w:proofErr w:type="gram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17.00 по адресу: </w:t>
      </w:r>
      <w:r w:rsidR="00CE2982">
        <w:rPr>
          <w:rFonts w:ascii="Times New Roman" w:eastAsia="CharterITC-Regular" w:hAnsi="Times New Roman" w:cs="Times New Roman"/>
          <w:sz w:val="28"/>
          <w:szCs w:val="28"/>
        </w:rPr>
        <w:t xml:space="preserve">с. </w:t>
      </w:r>
      <w:proofErr w:type="spellStart"/>
      <w:r w:rsidR="00CE2982">
        <w:rPr>
          <w:rFonts w:ascii="Times New Roman" w:eastAsia="CharterITC-Regular" w:hAnsi="Times New Roman" w:cs="Times New Roman"/>
          <w:sz w:val="28"/>
          <w:szCs w:val="28"/>
        </w:rPr>
        <w:t>Почепское</w:t>
      </w:r>
      <w:proofErr w:type="gramStart"/>
      <w:r w:rsidR="00CE2982">
        <w:rPr>
          <w:rFonts w:ascii="Times New Roman" w:eastAsia="CharterITC-Regular" w:hAnsi="Times New Roman" w:cs="Times New Roman"/>
          <w:sz w:val="28"/>
          <w:szCs w:val="28"/>
        </w:rPr>
        <w:t>,у</w:t>
      </w:r>
      <w:proofErr w:type="gramEnd"/>
      <w:r w:rsidR="00CE2982">
        <w:rPr>
          <w:rFonts w:ascii="Times New Roman" w:eastAsia="CharterITC-Regular" w:hAnsi="Times New Roman" w:cs="Times New Roman"/>
          <w:sz w:val="28"/>
          <w:szCs w:val="28"/>
        </w:rPr>
        <w:t>л</w:t>
      </w:r>
      <w:proofErr w:type="spellEnd"/>
      <w:r w:rsidR="00CE2982">
        <w:rPr>
          <w:rFonts w:ascii="Times New Roman" w:eastAsia="CharterITC-Regular" w:hAnsi="Times New Roman" w:cs="Times New Roman"/>
          <w:sz w:val="28"/>
          <w:szCs w:val="28"/>
        </w:rPr>
        <w:t>. Садовая 8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,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либо могут быть направлены по почте.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>4. Предложения по проекту изменений</w:t>
      </w:r>
      <w:r>
        <w:rPr>
          <w:rFonts w:ascii="Times New Roman" w:eastAsia="CharterITC-Regular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CE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, внесенные с нарушением процедуры, предусмотренной настоящим Порядком, не принимаются к рассмотрению и возвращаются лицу, их внесшему. 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5. Поступившие предложения предварительно рассматриваются на заседании постоянной комиссии Совета народных депутатов  </w:t>
      </w:r>
      <w:proofErr w:type="spellStart"/>
      <w:r w:rsidR="00CE2982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</w:t>
      </w:r>
      <w:r w:rsidR="004E3A08">
        <w:rPr>
          <w:rFonts w:ascii="Times New Roman" w:eastAsia="CharterITC-Regular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(далее - комиссия).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6. По итогам рассмотрения каждого предложения комиссия принимает рекомендация о внесении соответствующих изменений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CE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либо об отклонении предложения.</w:t>
      </w:r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7. </w:t>
      </w:r>
      <w:proofErr w:type="gramStart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Комиссия представляет в Совет народных депутатов  </w:t>
      </w:r>
      <w:proofErr w:type="spellStart"/>
      <w:r w:rsidR="00CE2982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 поступившие предложения, результаты их рассмотрения с рекомендациями, проект изменений</w:t>
      </w:r>
      <w:r w:rsidR="004E3A08" w:rsidRP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proofErr w:type="spellStart"/>
      <w:r w:rsidR="00CE2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proofErr w:type="spellEnd"/>
      <w:r w:rsidR="004E3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proofErr w:type="spellEnd"/>
      <w:r w:rsidR="004E3A08" w:rsidRPr="00A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 участия граждан в его обсуждении</w:t>
      </w:r>
      <w:r w:rsidRPr="00EF67A9">
        <w:rPr>
          <w:rFonts w:ascii="Times New Roman" w:eastAsia="CharterITC-Regular" w:hAnsi="Times New Roman" w:cs="Times New Roman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EF67A9" w:rsidRPr="00EF67A9" w:rsidRDefault="00EF67A9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8. Жители </w:t>
      </w:r>
      <w:proofErr w:type="spellStart"/>
      <w:r w:rsidR="00CE2982">
        <w:rPr>
          <w:rFonts w:ascii="Times New Roman" w:eastAsia="CharterITC-Regular" w:hAnsi="Times New Roman" w:cs="Times New Roman"/>
          <w:sz w:val="28"/>
          <w:szCs w:val="28"/>
        </w:rPr>
        <w:t>Почепского</w:t>
      </w:r>
      <w:proofErr w:type="spellEnd"/>
      <w:r w:rsidR="004E3A08">
        <w:rPr>
          <w:rFonts w:ascii="Times New Roman" w:eastAsia="CharterITC-Regular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67A9">
        <w:rPr>
          <w:rFonts w:ascii="Times New Roman" w:eastAsia="CharterITC-Regular" w:hAnsi="Times New Roman" w:cs="Times New Roman"/>
          <w:sz w:val="28"/>
          <w:szCs w:val="28"/>
        </w:rPr>
        <w:t>Лискинского</w:t>
      </w:r>
      <w:proofErr w:type="spellEnd"/>
      <w:r w:rsidRPr="00EF67A9">
        <w:rPr>
          <w:rFonts w:ascii="Times New Roman" w:eastAsia="CharterITC-Regular" w:hAnsi="Times New Roman" w:cs="Times New Roman"/>
          <w:sz w:val="28"/>
          <w:szCs w:val="28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A7FE6" w:rsidRPr="00DA7FE6" w:rsidRDefault="00DA7FE6" w:rsidP="00EF67A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Pr="00627158" w:rsidRDefault="004A28A7" w:rsidP="004A28A7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>АКТ</w:t>
      </w:r>
    </w:p>
    <w:p w:rsidR="004A28A7" w:rsidRPr="00627158" w:rsidRDefault="004A28A7" w:rsidP="004A2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обнародования решения сессии Совета народных депутатов  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271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4A28A7" w:rsidRPr="00627158" w:rsidRDefault="004E2973" w:rsidP="004A2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от 30</w:t>
      </w:r>
      <w:r w:rsidR="004A28A7">
        <w:rPr>
          <w:rFonts w:ascii="Times New Roman" w:hAnsi="Times New Roman"/>
        </w:rPr>
        <w:t>.03</w:t>
      </w:r>
      <w:r w:rsidR="004A28A7" w:rsidRPr="00627158">
        <w:rPr>
          <w:rFonts w:ascii="Times New Roman" w:hAnsi="Times New Roman" w:cs="Times New Roman"/>
          <w:sz w:val="24"/>
          <w:szCs w:val="24"/>
        </w:rPr>
        <w:t>.2016года</w:t>
      </w:r>
    </w:p>
    <w:p w:rsidR="004A28A7" w:rsidRPr="00627158" w:rsidRDefault="004A28A7" w:rsidP="004A2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6832BA" w:rsidP="004A2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30</w:t>
      </w:r>
      <w:r w:rsidR="004A28A7">
        <w:rPr>
          <w:rFonts w:ascii="Times New Roman" w:hAnsi="Times New Roman"/>
        </w:rPr>
        <w:t>.03</w:t>
      </w:r>
      <w:r w:rsidR="004A28A7" w:rsidRPr="00627158">
        <w:rPr>
          <w:rFonts w:ascii="Times New Roman" w:hAnsi="Times New Roman" w:cs="Times New Roman"/>
          <w:sz w:val="24"/>
          <w:szCs w:val="24"/>
        </w:rPr>
        <w:t>.2015 года</w:t>
      </w:r>
      <w:proofErr w:type="gramStart"/>
      <w:r w:rsidR="004A28A7" w:rsidRPr="006271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28A7"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A28A7">
        <w:rPr>
          <w:rFonts w:ascii="Times New Roman" w:hAnsi="Times New Roman"/>
        </w:rPr>
        <w:t xml:space="preserve">                 </w:t>
      </w:r>
      <w:r w:rsidR="004A28A7" w:rsidRPr="006271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28A7" w:rsidRPr="006271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28A7" w:rsidRPr="00627158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spellStart"/>
      <w:r w:rsidR="004A28A7" w:rsidRPr="00627158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</w:p>
    <w:p w:rsidR="004A28A7" w:rsidRPr="004A28A7" w:rsidRDefault="004A28A7" w:rsidP="004A28A7">
      <w:pPr>
        <w:rPr>
          <w:rFonts w:ascii="Times New Roman" w:hAnsi="Times New Roman" w:cs="Times New Roman"/>
          <w:b/>
          <w:sz w:val="24"/>
          <w:szCs w:val="24"/>
        </w:rPr>
      </w:pPr>
    </w:p>
    <w:p w:rsidR="004A28A7" w:rsidRPr="004A28A7" w:rsidRDefault="004A28A7" w:rsidP="004A28A7">
      <w:pPr>
        <w:spacing w:before="240" w:after="60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>С.С.Коровкиной</w:t>
      </w:r>
      <w:proofErr w:type="spellEnd"/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,  членов комиссии: </w:t>
      </w:r>
      <w:proofErr w:type="gram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Т.И.Малаховой, </w:t>
      </w:r>
      <w:proofErr w:type="spell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>А.Т.Гунькова</w:t>
      </w:r>
      <w:proofErr w:type="spellEnd"/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 состав</w:t>
      </w:r>
      <w:r w:rsidR="006832BA">
        <w:rPr>
          <w:rFonts w:ascii="Times New Roman" w:hAnsi="Times New Roman" w:cs="Times New Roman"/>
          <w:color w:val="000000"/>
          <w:sz w:val="24"/>
          <w:szCs w:val="24"/>
        </w:rPr>
        <w:t>или настоящий акт  в том, что 30</w:t>
      </w:r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.03.2016 года принято решение сессии Совета народных депутатов </w:t>
      </w:r>
      <w:proofErr w:type="spellStart"/>
      <w:r w:rsidRPr="004A28A7">
        <w:rPr>
          <w:rFonts w:ascii="Times New Roman" w:hAnsi="Times New Roman" w:cs="Times New Roman"/>
          <w:color w:val="000000"/>
          <w:sz w:val="24"/>
          <w:szCs w:val="24"/>
        </w:rPr>
        <w:t>Почепского</w:t>
      </w:r>
      <w:proofErr w:type="spellEnd"/>
      <w:r w:rsidRPr="004A28A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39 »</w:t>
      </w:r>
      <w:r w:rsidRPr="004A28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подготовке проекта внесения изменений в решение Совета  народных депутатов  </w:t>
      </w:r>
      <w:proofErr w:type="spellStart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Почепского</w:t>
      </w:r>
      <w:proofErr w:type="spellEnd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 от «17 »сентября 2012г. №77«Об утверждении  Правил благоустройства </w:t>
      </w:r>
      <w:proofErr w:type="spellStart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Почепского</w:t>
      </w:r>
      <w:proofErr w:type="spellEnd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сельского поселения </w:t>
      </w:r>
      <w:proofErr w:type="spellStart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Лискинского</w:t>
      </w:r>
      <w:proofErr w:type="spellEnd"/>
      <w:r w:rsidRPr="004A28A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</w:t>
      </w:r>
      <w:r w:rsidRPr="004A28A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,</w:t>
      </w:r>
      <w:proofErr w:type="gramEnd"/>
    </w:p>
    <w:p w:rsidR="004A28A7" w:rsidRPr="00627158" w:rsidRDefault="004A28A7" w:rsidP="004A28A7">
      <w:pPr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Почепской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Почепское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6271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27158">
        <w:rPr>
          <w:rFonts w:ascii="Times New Roman" w:hAnsi="Times New Roman" w:cs="Times New Roman"/>
          <w:sz w:val="24"/>
          <w:szCs w:val="24"/>
        </w:rPr>
        <w:t xml:space="preserve">адовая,2; в здании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Ермоловской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A28A7" w:rsidRPr="00627158" w:rsidRDefault="004A28A7" w:rsidP="004A28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ab/>
      </w: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6271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В.И. Бокова </w:t>
      </w:r>
    </w:p>
    <w:p w:rsidR="004A28A7" w:rsidRPr="00627158" w:rsidRDefault="004A28A7" w:rsidP="004A28A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A28A7" w:rsidRPr="00627158" w:rsidRDefault="004A28A7" w:rsidP="004A28A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>Председатель Совета народных депутатов:                                          В.А. Ковалев</w:t>
      </w:r>
    </w:p>
    <w:p w:rsidR="004A28A7" w:rsidRPr="00627158" w:rsidRDefault="004A28A7" w:rsidP="004A28A7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С.С.Коровкина</w:t>
      </w:r>
      <w:proofErr w:type="spellEnd"/>
      <w:r w:rsidRPr="00627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 xml:space="preserve"> Т.И.Малахова</w:t>
      </w: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</w:t>
      </w:r>
      <w:r w:rsidRPr="00627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158">
        <w:rPr>
          <w:rFonts w:ascii="Times New Roman" w:hAnsi="Times New Roman" w:cs="Times New Roman"/>
          <w:sz w:val="24"/>
          <w:szCs w:val="24"/>
        </w:rPr>
        <w:t>А.Т.Гуньков</w:t>
      </w:r>
      <w:proofErr w:type="spellEnd"/>
    </w:p>
    <w:p w:rsidR="004A28A7" w:rsidRPr="00627158" w:rsidRDefault="004A28A7" w:rsidP="004A2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pStyle w:val="a4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rPr>
          <w:rFonts w:ascii="Times New Roman" w:hAnsi="Times New Roman" w:cs="Times New Roman"/>
          <w:sz w:val="24"/>
          <w:szCs w:val="24"/>
        </w:rPr>
      </w:pPr>
    </w:p>
    <w:p w:rsidR="004A28A7" w:rsidRPr="00627158" w:rsidRDefault="004A28A7" w:rsidP="004A28A7">
      <w:pPr>
        <w:rPr>
          <w:rFonts w:ascii="Times New Roman" w:hAnsi="Times New Roman" w:cs="Times New Roman"/>
          <w:sz w:val="24"/>
          <w:szCs w:val="24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A7" w:rsidRDefault="004A28A7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298" w:rsidRPr="00DA7FE6" w:rsidRDefault="000B7298" w:rsidP="00DA7F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0B7298" w:rsidRPr="00DA7FE6" w:rsidSect="0066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26FC8"/>
    <w:rsid w:val="00065AA1"/>
    <w:rsid w:val="00097017"/>
    <w:rsid w:val="000B7298"/>
    <w:rsid w:val="001A0E8B"/>
    <w:rsid w:val="002240B5"/>
    <w:rsid w:val="002C5B5F"/>
    <w:rsid w:val="00323050"/>
    <w:rsid w:val="00345FE8"/>
    <w:rsid w:val="00485027"/>
    <w:rsid w:val="004A28A7"/>
    <w:rsid w:val="004E2973"/>
    <w:rsid w:val="004E3A08"/>
    <w:rsid w:val="00516738"/>
    <w:rsid w:val="005D6FE3"/>
    <w:rsid w:val="005F0AC9"/>
    <w:rsid w:val="00603A6E"/>
    <w:rsid w:val="0061162A"/>
    <w:rsid w:val="006270E8"/>
    <w:rsid w:val="006661C1"/>
    <w:rsid w:val="006832BA"/>
    <w:rsid w:val="006C640B"/>
    <w:rsid w:val="006F7AEF"/>
    <w:rsid w:val="007577C9"/>
    <w:rsid w:val="00887525"/>
    <w:rsid w:val="00922289"/>
    <w:rsid w:val="00924FD1"/>
    <w:rsid w:val="0097419C"/>
    <w:rsid w:val="00A02E5B"/>
    <w:rsid w:val="00A030E9"/>
    <w:rsid w:val="00A3768D"/>
    <w:rsid w:val="00C53499"/>
    <w:rsid w:val="00CB039D"/>
    <w:rsid w:val="00CB6952"/>
    <w:rsid w:val="00CE2982"/>
    <w:rsid w:val="00D73621"/>
    <w:rsid w:val="00DA7FE6"/>
    <w:rsid w:val="00DD6E2F"/>
    <w:rsid w:val="00E4711F"/>
    <w:rsid w:val="00EA3454"/>
    <w:rsid w:val="00EF67A9"/>
    <w:rsid w:val="00FB1F3F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paragraph" w:styleId="2">
    <w:name w:val="heading 2"/>
    <w:basedOn w:val="a"/>
    <w:next w:val="a"/>
    <w:link w:val="20"/>
    <w:semiHidden/>
    <w:unhideWhenUsed/>
    <w:qFormat/>
    <w:rsid w:val="004A28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A28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4A2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4A28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4A28A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902F-5404-430A-B54B-EF1F92B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7098</Words>
  <Characters>40462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Pochepskoe</cp:lastModifiedBy>
  <cp:revision>12</cp:revision>
  <cp:lastPrinted>2016-03-31T20:48:00Z</cp:lastPrinted>
  <dcterms:created xsi:type="dcterms:W3CDTF">2016-03-22T13:11:00Z</dcterms:created>
  <dcterms:modified xsi:type="dcterms:W3CDTF">2016-03-31T20:50:00Z</dcterms:modified>
</cp:coreProperties>
</file>