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06" w:rsidRDefault="003E2C25" w:rsidP="003E2C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2C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506" w:rsidRDefault="00A07506" w:rsidP="003E2C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2C25" w:rsidRPr="00A07506" w:rsidRDefault="003E2C25" w:rsidP="00A0750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E2C25">
        <w:rPr>
          <w:rFonts w:ascii="Times New Roman" w:hAnsi="Times New Roman"/>
          <w:sz w:val="20"/>
          <w:szCs w:val="20"/>
        </w:rPr>
        <w:t xml:space="preserve">  </w:t>
      </w:r>
      <w:r w:rsidRPr="00A07506">
        <w:rPr>
          <w:rFonts w:ascii="Times New Roman" w:hAnsi="Times New Roman"/>
          <w:sz w:val="18"/>
          <w:szCs w:val="18"/>
        </w:rPr>
        <w:t>Приложение 1</w:t>
      </w:r>
      <w:r w:rsidR="003509FC">
        <w:rPr>
          <w:rFonts w:ascii="Times New Roman" w:hAnsi="Times New Roman"/>
          <w:sz w:val="18"/>
          <w:szCs w:val="18"/>
        </w:rPr>
        <w:t>2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3E2C25" w:rsidRPr="00A07506" w:rsidRDefault="000F7F7F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Почепск</w:t>
      </w:r>
      <w:r w:rsidR="003E2C25" w:rsidRPr="00A07506">
        <w:rPr>
          <w:rFonts w:ascii="Times New Roman" w:hAnsi="Times New Roman"/>
          <w:sz w:val="18"/>
          <w:szCs w:val="18"/>
        </w:rPr>
        <w:t>ого</w:t>
      </w:r>
      <w:proofErr w:type="spellEnd"/>
      <w:r w:rsidR="003E2C25" w:rsidRPr="00A07506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3E2C25" w:rsidRPr="00A07506" w:rsidRDefault="003E2C25" w:rsidP="003E2C25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  <w:r w:rsidRPr="00A07506">
        <w:rPr>
          <w:rFonts w:ascii="Times New Roman" w:hAnsi="Times New Roman"/>
          <w:sz w:val="18"/>
          <w:szCs w:val="18"/>
        </w:rPr>
        <w:t xml:space="preserve">Воронежской области от </w:t>
      </w:r>
      <w:r w:rsidR="000F7F7F">
        <w:rPr>
          <w:rFonts w:ascii="Times New Roman" w:hAnsi="Times New Roman"/>
          <w:sz w:val="18"/>
          <w:szCs w:val="18"/>
        </w:rPr>
        <w:t>03.11</w:t>
      </w:r>
      <w:r w:rsidRPr="00A07506">
        <w:rPr>
          <w:rFonts w:ascii="Times New Roman" w:hAnsi="Times New Roman"/>
          <w:sz w:val="18"/>
          <w:szCs w:val="18"/>
        </w:rPr>
        <w:t xml:space="preserve">.2024г № </w:t>
      </w:r>
      <w:r w:rsidR="000F7F7F">
        <w:rPr>
          <w:rFonts w:ascii="Times New Roman" w:hAnsi="Times New Roman"/>
          <w:sz w:val="18"/>
          <w:szCs w:val="18"/>
        </w:rPr>
        <w:t>36</w:t>
      </w:r>
      <w:bookmarkStart w:id="0" w:name="_GoBack"/>
      <w:bookmarkEnd w:id="0"/>
      <w:r w:rsidRPr="00A07506">
        <w:rPr>
          <w:rFonts w:ascii="Times New Roman" w:hAnsi="Times New Roman"/>
          <w:sz w:val="18"/>
          <w:szCs w:val="18"/>
        </w:rPr>
        <w:t>-р</w:t>
      </w:r>
    </w:p>
    <w:p w:rsidR="003E2C25" w:rsidRPr="003E2C25" w:rsidRDefault="003E2C25" w:rsidP="003E2C25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</w:p>
    <w:p w:rsidR="003E2C25" w:rsidRDefault="003E2C25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E2C25" w:rsidRDefault="003E2C25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7FCC" w:rsidRPr="00A07506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07506">
        <w:rPr>
          <w:rFonts w:ascii="Times New Roman" w:eastAsiaTheme="minorHAnsi" w:hAnsi="Times New Roman"/>
          <w:b/>
          <w:sz w:val="24"/>
          <w:szCs w:val="24"/>
          <w:lang w:eastAsia="en-US"/>
        </w:rPr>
        <w:t>ТИПОВАЯ ТЕХНОЛОГИЧЕСКАЯ СХЕМА</w:t>
      </w:r>
    </w:p>
    <w:p w:rsidR="003E2C25" w:rsidRPr="00A07506" w:rsidRDefault="003E2C25" w:rsidP="003E2C2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7506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3E2C25" w:rsidRPr="00A07506" w:rsidRDefault="003E2C25" w:rsidP="003E2C25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506">
        <w:rPr>
          <w:rFonts w:ascii="Times New Roman" w:hAnsi="Times New Roman" w:cs="Times New Roman"/>
          <w:sz w:val="24"/>
          <w:szCs w:val="24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3E2C25" w:rsidRPr="003E2C25" w:rsidRDefault="003E2C25" w:rsidP="003E2C2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7FCC" w:rsidRPr="00A07506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</w:pPr>
      <w:r w:rsidRPr="00A07506"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A07506" w:rsidTr="00577FCC">
        <w:tc>
          <w:tcPr>
            <w:tcW w:w="959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577FCC" w:rsidRPr="00A07506" w:rsidTr="00577FCC">
        <w:tc>
          <w:tcPr>
            <w:tcW w:w="959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A07506" w:rsidRDefault="003E2C25" w:rsidP="00CC5F06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F7F7F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CC5F0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A07506" w:rsidRDefault="000F7F7F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0F7F7F">
              <w:rPr>
                <w:rFonts w:ascii="Times New Roman" w:hAnsi="Times New Roman" w:cs="Times New Roman"/>
                <w:sz w:val="20"/>
                <w:szCs w:val="20"/>
              </w:rPr>
              <w:t>3640100010000841205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A07506" w:rsidRDefault="00577FCC" w:rsidP="00DA502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A07506" w:rsidRDefault="00BC2EC3" w:rsidP="00DA502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</w:t>
            </w:r>
            <w:proofErr w:type="spellEnd"/>
            <w:r w:rsidRPr="00A07506">
              <w:rPr>
                <w:rFonts w:ascii="Times New Roman" w:hAnsi="Times New Roman" w:cs="Times New Roman"/>
                <w:b w:val="0"/>
                <w:sz w:val="20"/>
                <w:szCs w:val="20"/>
              </w:rPr>
              <w:t>-заторами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A07506" w:rsidRDefault="003E2C25" w:rsidP="000F7F7F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от </w:t>
            </w:r>
            <w:r w:rsidR="000F7F7F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.2016 г. №</w:t>
            </w:r>
            <w:r w:rsidR="000F7F7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A502F" w:rsidRPr="00A07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 утверждении  административного регламента  администрации  </w:t>
            </w:r>
            <w:proofErr w:type="spellStart"/>
            <w:r w:rsidR="000F7F7F">
              <w:rPr>
                <w:rFonts w:ascii="Times New Roman" w:hAnsi="Times New Roman" w:cs="Times New Roman"/>
                <w:bCs/>
                <w:sz w:val="20"/>
                <w:szCs w:val="20"/>
              </w:rPr>
              <w:t>Почепск</w:t>
            </w:r>
            <w:r w:rsidR="00CC5F06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proofErr w:type="spellEnd"/>
            <w:r w:rsidR="00DA502F" w:rsidRPr="00A07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 поселения  Лискинского муниципального  района  Воронежской области по предоставлению муниципальной услуги «Включение ярмарок по продаже товаров 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7FCC" w:rsidRPr="00A07506" w:rsidTr="00577FCC">
        <w:tc>
          <w:tcPr>
            <w:tcW w:w="959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Pr="00A075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77FCC" w:rsidRPr="00A07506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7506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577FCC" w:rsidRPr="00A07506" w:rsidRDefault="00577FCC" w:rsidP="00FB775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22156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A07506" w:rsidTr="00577FCC">
        <w:tc>
          <w:tcPr>
            <w:tcW w:w="2552" w:type="dxa"/>
            <w:gridSpan w:val="2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53820" w:rsidRPr="00A07506" w:rsidTr="00577FCC"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юр.лица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( по месту обращения)</w:t>
            </w:r>
          </w:p>
        </w:tc>
        <w:tc>
          <w:tcPr>
            <w:tcW w:w="1809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3820" w:rsidRPr="00A07506" w:rsidRDefault="00B53820" w:rsidP="007C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820" w:rsidRPr="00A07506" w:rsidTr="00577FCC"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53820" w:rsidRPr="00A07506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53820" w:rsidRPr="00A07506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77FCC" w:rsidRPr="00A07506" w:rsidTr="00577FCC">
        <w:tc>
          <w:tcPr>
            <w:tcW w:w="15276" w:type="dxa"/>
            <w:gridSpan w:val="11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FCC" w:rsidRPr="00A07506" w:rsidTr="00577FCC">
        <w:tc>
          <w:tcPr>
            <w:tcW w:w="1276" w:type="dxa"/>
          </w:tcPr>
          <w:p w:rsidR="00577FCC" w:rsidRPr="00A07506" w:rsidRDefault="00577FCC" w:rsidP="00D92200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276" w:type="dxa"/>
          </w:tcPr>
          <w:p w:rsidR="00577FCC" w:rsidRPr="00A07506" w:rsidRDefault="00577FCC" w:rsidP="00D92200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809" w:type="dxa"/>
          </w:tcPr>
          <w:p w:rsidR="00577FCC" w:rsidRPr="00A07506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4" w:type="dxa"/>
          </w:tcPr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1) организатором не соблюден порядок подачи заявления о проведении ярмарки;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3) наличие неоднократных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577FCC" w:rsidRPr="00A07506" w:rsidRDefault="00577FCC" w:rsidP="00577FCC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выставочно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-ярмарочным или публичным мероприятием, заявление о проведении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которого подано ранее.</w:t>
            </w:r>
          </w:p>
        </w:tc>
        <w:tc>
          <w:tcPr>
            <w:tcW w:w="1134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A07506" w:rsidRDefault="00577FCC" w:rsidP="00D92200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77FCC" w:rsidRPr="00A07506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77FCC" w:rsidRPr="00A07506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577FCC" w:rsidRPr="00A07506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 виде электронного документа, размещенного на официальном сайте, ссылка на который направляется администрацией заявителю посредством электронной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почты;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577FCC" w:rsidRPr="00A07506" w:rsidRDefault="00577FCC" w:rsidP="00577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4F2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A07506" w:rsidTr="00577FCC">
        <w:trPr>
          <w:trHeight w:val="703"/>
        </w:trPr>
        <w:tc>
          <w:tcPr>
            <w:tcW w:w="53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A07506" w:rsidTr="00577FCC">
        <w:trPr>
          <w:trHeight w:val="236"/>
        </w:trPr>
        <w:tc>
          <w:tcPr>
            <w:tcW w:w="53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44FFA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14473" w:rsidRPr="00A075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14473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14473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7FCC" w:rsidRPr="00A07506" w:rsidTr="00577FCC">
        <w:trPr>
          <w:trHeight w:val="236"/>
        </w:trPr>
        <w:tc>
          <w:tcPr>
            <w:tcW w:w="15276" w:type="dxa"/>
            <w:gridSpan w:val="8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7FCC" w:rsidRPr="00A07506" w:rsidTr="00577FCC">
        <w:trPr>
          <w:trHeight w:val="650"/>
        </w:trPr>
        <w:tc>
          <w:tcPr>
            <w:tcW w:w="534" w:type="dxa"/>
            <w:vMerge w:val="restart"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ридические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лица и индивидуальные предприниматели, осуществляющие функции по организации ярмарки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A07506" w:rsidRDefault="00577FCC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A07506" w:rsidRDefault="00577FCC" w:rsidP="00F1380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276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577FCC" w:rsidRPr="00A07506" w:rsidTr="00577FCC">
        <w:trPr>
          <w:trHeight w:val="650"/>
        </w:trPr>
        <w:tc>
          <w:tcPr>
            <w:tcW w:w="534" w:type="dxa"/>
            <w:vMerge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77FCC" w:rsidRPr="00A07506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275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127" w:type="dxa"/>
            <w:vMerge w:val="restart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577FCC" w:rsidRPr="00A07506" w:rsidTr="000819DA">
        <w:trPr>
          <w:trHeight w:val="3595"/>
        </w:trPr>
        <w:tc>
          <w:tcPr>
            <w:tcW w:w="534" w:type="dxa"/>
            <w:vMerge/>
          </w:tcPr>
          <w:p w:rsidR="00577FCC" w:rsidRPr="00A07506" w:rsidRDefault="00577F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7FCC" w:rsidRPr="00A07506" w:rsidRDefault="00577FCC" w:rsidP="00577FCC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577FCC" w:rsidRPr="00A07506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A07506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7FCC" w:rsidRPr="00A07506" w:rsidRDefault="00577FCC" w:rsidP="00577F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7FCC" w:rsidRPr="00A07506" w:rsidRDefault="00577FCC" w:rsidP="00E01C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7FCC" w:rsidRPr="00A07506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19DA" w:rsidRPr="000819DA" w:rsidRDefault="00C55AA0" w:rsidP="000819DA">
      <w:pPr>
        <w:tabs>
          <w:tab w:val="left" w:pos="12225"/>
        </w:tabs>
        <w:spacing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0819DA">
        <w:rPr>
          <w:rFonts w:ascii="Times New Roman" w:hAnsi="Times New Roman"/>
          <w:b/>
          <w:sz w:val="20"/>
          <w:szCs w:val="20"/>
        </w:rPr>
        <w:t xml:space="preserve"> </w:t>
      </w:r>
    </w:p>
    <w:p w:rsidR="00DD19AE" w:rsidRPr="000819DA" w:rsidRDefault="00577FCC" w:rsidP="000819DA">
      <w:pPr>
        <w:tabs>
          <w:tab w:val="left" w:pos="12225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19DA">
        <w:rPr>
          <w:rFonts w:ascii="Times New Roman" w:hAnsi="Times New Roman"/>
          <w:b/>
          <w:sz w:val="20"/>
          <w:szCs w:val="20"/>
        </w:rPr>
        <w:t>РАЗДЕЛ 4. «ДОКУМЕНТЫ, ПРЕДОСТАВЛЯЕМЫЕ ЗАЯВИТЕЛЕМ ДЛЯ ПОЛУЧЕНИЯ «ПОДУСЛУГИ»</w:t>
      </w:r>
      <w:r w:rsidR="000819DA" w:rsidRPr="000819D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A07506" w:rsidTr="00BF75AA">
        <w:trPr>
          <w:trHeight w:val="1935"/>
        </w:trPr>
        <w:tc>
          <w:tcPr>
            <w:tcW w:w="534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</w:tcPr>
          <w:p w:rsidR="00DD19AE" w:rsidRPr="00A07506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  <w:r w:rsidR="00BF75AA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  <w:r w:rsidR="00BF75AA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BF75AA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DD19AE" w:rsidRPr="00A07506" w:rsidTr="00BF75AA">
        <w:tc>
          <w:tcPr>
            <w:tcW w:w="534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DD19AE" w:rsidRPr="00A075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7FCC" w:rsidRPr="00A07506" w:rsidTr="00577FCC">
        <w:tc>
          <w:tcPr>
            <w:tcW w:w="15275" w:type="dxa"/>
            <w:gridSpan w:val="8"/>
          </w:tcPr>
          <w:p w:rsidR="00577FCC" w:rsidRPr="00A07506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F13808" w:rsidRPr="00A07506" w:rsidTr="00BF75AA">
        <w:trPr>
          <w:trHeight w:val="996"/>
        </w:trPr>
        <w:tc>
          <w:tcPr>
            <w:tcW w:w="534" w:type="dxa"/>
          </w:tcPr>
          <w:p w:rsidR="00F13808" w:rsidRPr="00A07506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3808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447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3808" w:rsidRPr="00A07506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13808" w:rsidRPr="00A07506" w:rsidRDefault="00F13808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F13808" w:rsidRPr="00A07506" w:rsidRDefault="00CB1C3D" w:rsidP="00CB1C3D">
            <w:pPr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место проведения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вид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ассортимент (вид) реализуемых на ярмарке товаров (работ, услуг);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срок проведения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режим работы ярмарки;</w:t>
            </w:r>
          </w:p>
          <w:p w:rsidR="001259CD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максимальное количество торговых мест на ярмарке.</w:t>
            </w:r>
          </w:p>
          <w:p w:rsidR="00F13808" w:rsidRPr="00A07506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A07506" w:rsidRDefault="00F13808" w:rsidP="00CB1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0" w:type="dxa"/>
          </w:tcPr>
          <w:p w:rsidR="00F13808" w:rsidRPr="00A07506" w:rsidRDefault="00F13808" w:rsidP="00CB1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личность заявителя и представителя заявителя, </w:t>
            </w:r>
          </w:p>
        </w:tc>
        <w:tc>
          <w:tcPr>
            <w:tcW w:w="3685" w:type="dxa"/>
          </w:tcPr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A07506" w:rsidRDefault="00CB1C3D" w:rsidP="00CB1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CB1C3D" w:rsidRPr="00A07506" w:rsidRDefault="00CB1C3D" w:rsidP="00167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подтверждающего полномочия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заявителя,.</w:t>
            </w:r>
          </w:p>
        </w:tc>
        <w:tc>
          <w:tcPr>
            <w:tcW w:w="3685" w:type="dxa"/>
          </w:tcPr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- Приказ о назначении на должность</w:t>
            </w:r>
          </w:p>
          <w:p w:rsidR="00CB1C3D" w:rsidRPr="00A07506" w:rsidRDefault="00CB1C3D" w:rsidP="00111E3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Доверенность</w:t>
            </w:r>
          </w:p>
        </w:tc>
        <w:tc>
          <w:tcPr>
            <w:tcW w:w="1701" w:type="dxa"/>
          </w:tcPr>
          <w:p w:rsidR="00CB1C3D" w:rsidRPr="00A07506" w:rsidRDefault="00CB1C3D" w:rsidP="00CB1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в случае, если заявление подается представителем заявителя;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A07506" w:rsidRDefault="00CB1C3D" w:rsidP="00E405F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AF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AF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учредительны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организатора ярмарки – юридического лица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CB1C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- д</w:t>
            </w:r>
            <w:proofErr w:type="spellStart"/>
            <w:r w:rsidRPr="00A07506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spellEnd"/>
            <w:r w:rsidRPr="00A07506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A07506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  <w:p w:rsidR="00CB1C3D" w:rsidRPr="00A07506" w:rsidRDefault="00CB1C3D" w:rsidP="00CB1C3D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Представляется один из документов данной категории.</w:t>
            </w:r>
          </w:p>
          <w:p w:rsidR="00CB1C3D" w:rsidRPr="00A07506" w:rsidRDefault="00CB1C3D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127" w:type="dxa"/>
          </w:tcPr>
          <w:p w:rsidR="00CB1C3D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C3D" w:rsidRPr="00A07506" w:rsidTr="00BF75AA">
        <w:tc>
          <w:tcPr>
            <w:tcW w:w="534" w:type="dxa"/>
          </w:tcPr>
          <w:p w:rsidR="00CB1C3D" w:rsidRPr="00A07506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3D" w:rsidRPr="00A07506" w:rsidRDefault="00CB1C3D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план мероприятий по организации ярмарки и продажи товаров</w:t>
            </w:r>
          </w:p>
        </w:tc>
        <w:tc>
          <w:tcPr>
            <w:tcW w:w="3685" w:type="dxa"/>
          </w:tcPr>
          <w:p w:rsidR="00CB1C3D" w:rsidRPr="00A07506" w:rsidRDefault="00CB1C3D" w:rsidP="00CB1C3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которым организатор ярмарки утвердил план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1701" w:type="dxa"/>
          </w:tcPr>
          <w:p w:rsidR="00CB1C3D" w:rsidRPr="00A07506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CB1C3D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1C3D" w:rsidRPr="00A07506" w:rsidRDefault="00CB1C3D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1C3D" w:rsidRPr="00A07506" w:rsidRDefault="00CB1C3D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5AA" w:rsidRPr="00A07506" w:rsidTr="00BF75AA">
        <w:tc>
          <w:tcPr>
            <w:tcW w:w="534" w:type="dxa"/>
          </w:tcPr>
          <w:p w:rsidR="00BF75AA" w:rsidRPr="00A07506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5AA" w:rsidRPr="00A07506" w:rsidRDefault="00BF75AA" w:rsidP="00447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режим работы ярмарки, порядок организации ярмарки</w:t>
            </w:r>
          </w:p>
        </w:tc>
        <w:tc>
          <w:tcPr>
            <w:tcW w:w="3685" w:type="dxa"/>
          </w:tcPr>
          <w:p w:rsidR="00BF75AA" w:rsidRPr="00A07506" w:rsidRDefault="00BF75AA" w:rsidP="00BF75AA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документ, определяющи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работ, оказания услуг) на ярмарке</w:t>
            </w:r>
          </w:p>
        </w:tc>
        <w:tc>
          <w:tcPr>
            <w:tcW w:w="1701" w:type="dxa"/>
          </w:tcPr>
          <w:p w:rsidR="00BF75AA" w:rsidRPr="00A07506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127" w:type="dxa"/>
          </w:tcPr>
          <w:p w:rsidR="00BF75AA" w:rsidRPr="00A07506" w:rsidRDefault="00BF75AA" w:rsidP="00817F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F75AA" w:rsidRPr="00A07506" w:rsidRDefault="00BF75AA" w:rsidP="002C755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5AA" w:rsidRPr="00A07506" w:rsidRDefault="00BF75A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F75AA" w:rsidRPr="00A07506" w:rsidRDefault="00BF75AA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1C3D" w:rsidRPr="00A07506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71FD7" w:rsidRPr="00A07506" w:rsidRDefault="00771FD7" w:rsidP="00E721D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47A75" w:rsidRPr="00A07506" w:rsidRDefault="00447A75" w:rsidP="001D7DA7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D7DA7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A07506" w:rsidTr="00BF75AA">
        <w:trPr>
          <w:trHeight w:val="2287"/>
        </w:trPr>
        <w:tc>
          <w:tcPr>
            <w:tcW w:w="1242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560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17" w:type="dxa"/>
          </w:tcPr>
          <w:p w:rsidR="00BF75AA" w:rsidRPr="00A07506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995121" w:rsidRPr="00A07506" w:rsidTr="00BF75AA">
        <w:trPr>
          <w:trHeight w:val="232"/>
        </w:trPr>
        <w:tc>
          <w:tcPr>
            <w:tcW w:w="1242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7FCC" w:rsidRPr="00A07506" w:rsidTr="00BF75AA">
        <w:trPr>
          <w:trHeight w:val="232"/>
        </w:trPr>
        <w:tc>
          <w:tcPr>
            <w:tcW w:w="15133" w:type="dxa"/>
            <w:gridSpan w:val="9"/>
          </w:tcPr>
          <w:p w:rsidR="00577FCC" w:rsidRPr="00A07506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A07506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121" w:rsidRPr="00A07506" w:rsidTr="00BF75AA">
        <w:tc>
          <w:tcPr>
            <w:tcW w:w="1242" w:type="dxa"/>
          </w:tcPr>
          <w:p w:rsidR="00995121" w:rsidRPr="00A07506" w:rsidRDefault="00995121" w:rsidP="000B78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95121" w:rsidRPr="00A07506" w:rsidRDefault="00BF75AA" w:rsidP="00BF75AA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Start"/>
            <w:r w:rsidR="00DE3C61" w:rsidRPr="00A07506">
              <w:rPr>
                <w:rFonts w:ascii="Times New Roman" w:hAnsi="Times New Roman"/>
                <w:sz w:val="20"/>
                <w:szCs w:val="20"/>
              </w:rPr>
              <w:t>ыписк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End"/>
            <w:r w:rsidR="00DE3C61" w:rsidRPr="00A07506">
              <w:rPr>
                <w:rFonts w:ascii="Times New Roman" w:hAnsi="Times New Roman"/>
                <w:sz w:val="20"/>
                <w:szCs w:val="20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A07506" w:rsidRDefault="00BF75AA" w:rsidP="00BF75A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сведения, подтверждающие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</w:t>
            </w:r>
          </w:p>
        </w:tc>
        <w:tc>
          <w:tcPr>
            <w:tcW w:w="1276" w:type="dxa"/>
          </w:tcPr>
          <w:p w:rsidR="006B25CB" w:rsidRPr="00A07506" w:rsidRDefault="00A75DFC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F7F7F">
              <w:rPr>
                <w:rFonts w:ascii="Times New Roman" w:hAnsi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68" w:type="dxa"/>
          </w:tcPr>
          <w:p w:rsidR="008B3218" w:rsidRPr="00A07506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E3C61" w:rsidRPr="00A07506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E3C61" w:rsidRPr="00A075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95121" w:rsidRPr="00A07506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05BA0" w:rsidRPr="00A07506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B781D" w:rsidRPr="00A07506">
              <w:rPr>
                <w:rFonts w:ascii="Times New Roman" w:hAnsi="Times New Roman"/>
                <w:sz w:val="20"/>
                <w:szCs w:val="20"/>
              </w:rPr>
              <w:t>рабочи</w:t>
            </w:r>
            <w:r w:rsidR="008F671B" w:rsidRPr="00A07506">
              <w:rPr>
                <w:rFonts w:ascii="Times New Roman" w:hAnsi="Times New Roman"/>
                <w:sz w:val="20"/>
                <w:szCs w:val="20"/>
              </w:rPr>
              <w:t>х</w:t>
            </w:r>
            <w:r w:rsidR="000B781D" w:rsidRPr="00A0750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8F671B" w:rsidRPr="00A07506">
              <w:rPr>
                <w:rFonts w:ascii="Times New Roman" w:hAnsi="Times New Roman"/>
                <w:sz w:val="20"/>
                <w:szCs w:val="20"/>
              </w:rPr>
              <w:t>н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995121" w:rsidRPr="00A07506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A07506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5AA" w:rsidRPr="00A07506" w:rsidTr="00BF75AA">
        <w:tc>
          <w:tcPr>
            <w:tcW w:w="1242" w:type="dxa"/>
          </w:tcPr>
          <w:p w:rsidR="00BF75AA" w:rsidRPr="00A07506" w:rsidRDefault="00BF75AA" w:rsidP="000B78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75AA" w:rsidRPr="00A07506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Pr="00A07506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F75AA" w:rsidRPr="00A07506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Pr="00A07506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F75AA" w:rsidRPr="00A07506" w:rsidRDefault="00A75DFC" w:rsidP="00BE52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F7F7F">
              <w:rPr>
                <w:rFonts w:ascii="Times New Roman" w:hAnsi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68" w:type="dxa"/>
          </w:tcPr>
          <w:p w:rsidR="00BF75AA" w:rsidRPr="00A07506" w:rsidRDefault="00BF75AA" w:rsidP="00DE3C61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F75AA" w:rsidRPr="00A07506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5AA" w:rsidRPr="00A07506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75AA" w:rsidRPr="00A07506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75AA" w:rsidRPr="00A07506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6534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A07506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B65B9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A07506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C369B5" w:rsidRPr="00A07506" w:rsidTr="00BB65B9">
        <w:trPr>
          <w:trHeight w:val="377"/>
        </w:trPr>
        <w:tc>
          <w:tcPr>
            <w:tcW w:w="534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9B5" w:rsidRPr="00A0750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276" w:type="dxa"/>
          </w:tcPr>
          <w:p w:rsidR="00C369B5" w:rsidRPr="00A07506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A07506" w:rsidTr="00BB65B9">
        <w:tc>
          <w:tcPr>
            <w:tcW w:w="534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6534" w:rsidRPr="00A07506" w:rsidRDefault="00DE6534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E6534" w:rsidRPr="00A07506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7FCC" w:rsidRPr="00A07506" w:rsidTr="00BB65B9">
        <w:trPr>
          <w:trHeight w:val="317"/>
        </w:trPr>
        <w:tc>
          <w:tcPr>
            <w:tcW w:w="15418" w:type="dxa"/>
            <w:gridSpan w:val="9"/>
          </w:tcPr>
          <w:p w:rsidR="00577FCC" w:rsidRPr="00A07506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BB65B9" w:rsidRPr="00A07506" w:rsidTr="00BB65B9">
        <w:trPr>
          <w:trHeight w:val="70"/>
        </w:trPr>
        <w:tc>
          <w:tcPr>
            <w:tcW w:w="534" w:type="dxa"/>
          </w:tcPr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65B9" w:rsidRPr="00A07506" w:rsidRDefault="00BB65B9" w:rsidP="000D3608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A07506" w:rsidRDefault="00BB65B9" w:rsidP="005653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B65B9" w:rsidRPr="00A07506" w:rsidRDefault="00BB65B9" w:rsidP="004B1BF1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По месту обращения или направление по адресу, указанному в заявлении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 электронной форме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5B9" w:rsidRPr="00A07506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5B9" w:rsidRPr="00A07506" w:rsidTr="00BB65B9">
        <w:trPr>
          <w:trHeight w:val="703"/>
        </w:trPr>
        <w:tc>
          <w:tcPr>
            <w:tcW w:w="534" w:type="dxa"/>
          </w:tcPr>
          <w:p w:rsidR="00BB65B9" w:rsidRPr="00A07506" w:rsidRDefault="00BB65B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B65B9" w:rsidRPr="00A07506" w:rsidRDefault="00BB65B9" w:rsidP="000D3608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A07506" w:rsidRDefault="00BB65B9" w:rsidP="0056531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BB65B9" w:rsidRPr="00A07506" w:rsidRDefault="00BB65B9" w:rsidP="004009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842" w:type="dxa"/>
          </w:tcPr>
          <w:p w:rsidR="00BB65B9" w:rsidRPr="00A07506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A07506" w:rsidRDefault="00BB65B9" w:rsidP="003A28E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66C3" w:rsidRPr="00A07506" w:rsidRDefault="002266C3" w:rsidP="00655310">
      <w:pPr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F0595F" w:rsidRPr="00A07506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A07506">
        <w:rPr>
          <w:rFonts w:ascii="Times New Roman" w:hAnsi="Times New Roman"/>
          <w:b/>
          <w:sz w:val="20"/>
          <w:szCs w:val="20"/>
        </w:rPr>
        <w:tab/>
      </w:r>
    </w:p>
    <w:p w:rsidR="0073610F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sz w:val="20"/>
          <w:szCs w:val="20"/>
        </w:rPr>
        <w:br w:type="column"/>
      </w:r>
      <w:r w:rsidRPr="00A07506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A07506" w:rsidTr="00BB65B9">
        <w:tc>
          <w:tcPr>
            <w:tcW w:w="529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6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BB65B9" w:rsidRPr="00A07506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177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  <w:r w:rsidR="00BB65B9" w:rsidRPr="00A075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9855C3" w:rsidRPr="00A07506" w:rsidTr="00BB65B9">
        <w:tc>
          <w:tcPr>
            <w:tcW w:w="529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:rsidR="005D4742" w:rsidRPr="00A0750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77FCC" w:rsidRPr="00A07506" w:rsidTr="00BB65B9">
        <w:tc>
          <w:tcPr>
            <w:tcW w:w="15346" w:type="dxa"/>
            <w:gridSpan w:val="7"/>
          </w:tcPr>
          <w:p w:rsidR="00577FCC" w:rsidRPr="00A07506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855C3" w:rsidRPr="00A07506" w:rsidTr="00BB65B9">
        <w:trPr>
          <w:trHeight w:val="1412"/>
        </w:trPr>
        <w:tc>
          <w:tcPr>
            <w:tcW w:w="529" w:type="dxa"/>
          </w:tcPr>
          <w:p w:rsidR="001B4A00" w:rsidRPr="00A07506" w:rsidRDefault="001B4A00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145EC" w:rsidRPr="00A07506" w:rsidRDefault="009145EC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145EC" w:rsidRPr="00A07506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устанавливает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предмет обращения, личность заявителя,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личность заявителя;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проверяют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соответствие заявления установленным требованиям;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регистрирует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заявление с прилагаемым комплектом документов;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вручает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 наличии оснований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документов, с указанием их объема (далее - уведомление о получении заявления).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Уведомление о получении заявления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A07506" w:rsidRDefault="009C2766" w:rsidP="00D5311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A07506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845" w:type="dxa"/>
          </w:tcPr>
          <w:p w:rsidR="002B1457" w:rsidRPr="00A07506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Pr="00A07506" w:rsidRDefault="00BB65B9" w:rsidP="00A804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9855C3" w:rsidRPr="00A07506" w:rsidTr="00BB65B9">
        <w:trPr>
          <w:trHeight w:val="2083"/>
        </w:trPr>
        <w:tc>
          <w:tcPr>
            <w:tcW w:w="529" w:type="dxa"/>
          </w:tcPr>
          <w:p w:rsidR="009145EC" w:rsidRPr="00A07506" w:rsidRDefault="009145EC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A07506" w:rsidRDefault="006B4B9D" w:rsidP="00EA071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Проверяет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наличие или отсутствие оснований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(подача заявления лицом, не уполномоченным совершать такого рода действия ).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наличии 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оснований подготавливает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и направляет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При отсутствии 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данных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оснований проводит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проверк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заявления и прилагаемых документов на соответствие требованиям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место проведения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вид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ассортимент (вид) реализуемых на ярмарке товаров (работ, услуг);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срок проведения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режим работы ярмарки;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максимальное количество торговых мест на ярмарке.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В случае отсутствия в представленном пакете документов, указанных в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ыше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в рамках межведомственного взаимодействия направляет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межведомственные запросы: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(Единого государственного реестра индивидуальных предпринимателей);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A07506" w:rsidRDefault="005B3576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По результатам полученных сведений (документов) определяет</w:t>
            </w: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A07506" w:rsidRDefault="005B3576" w:rsidP="005B3576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A07506" w:rsidRDefault="00495F8F" w:rsidP="00F35DC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5EC" w:rsidRPr="00A07506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</w:tcPr>
          <w:p w:rsidR="009145EC" w:rsidRPr="00A07506" w:rsidRDefault="00495F8F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A07506" w:rsidRDefault="009145EC" w:rsidP="007D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C3" w:rsidRPr="00A07506" w:rsidTr="00BB65B9">
        <w:trPr>
          <w:trHeight w:val="2121"/>
        </w:trPr>
        <w:tc>
          <w:tcPr>
            <w:tcW w:w="529" w:type="dxa"/>
          </w:tcPr>
          <w:p w:rsidR="00CA20E5" w:rsidRPr="00A07506" w:rsidRDefault="00C26C19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A07506" w:rsidRDefault="006B4B9D" w:rsidP="006B4B9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A07506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DF734D"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В случае отсутствия оснований, указанных </w:t>
            </w:r>
            <w:r w:rsidR="00DF734D"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п.2 данного раздела: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проект постановления администрации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передает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главе исполнительного органа</w:t>
            </w:r>
            <w:r w:rsidRPr="00A07506">
              <w:rPr>
                <w:rFonts w:ascii="Times New Roman" w:eastAsia="Calibri" w:hAnsi="Times New Roman"/>
                <w:i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уведомление по форме.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В случае наличия оснований, указанных 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п.2 данного раздела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проект постановления администрации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передает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подготовленный проект постановления об отказе и прилагаемый к нему комплект документов для подписания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главе исполнительного органа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- готовит</w:t>
            </w: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ся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уведомление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по форме.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 случае отказа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A07506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Уведомление и постановление регистрируются в журнале регистрации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администрации.</w:t>
            </w:r>
          </w:p>
          <w:p w:rsidR="00CA20E5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При поступлении в администрацию заявления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через МФЦ зарегистрированные уведомления о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ключении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либо об отказе в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ключения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включения ярмарки в План проведения ярмарок не должен превышать 2 рабочих дней;</w:t>
            </w:r>
          </w:p>
          <w:p w:rsidR="00CA20E5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16 календарных дней.</w:t>
            </w:r>
          </w:p>
        </w:tc>
        <w:tc>
          <w:tcPr>
            <w:tcW w:w="1134" w:type="dxa"/>
          </w:tcPr>
          <w:p w:rsidR="00CA20E5" w:rsidRPr="00A07506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5" w:type="dxa"/>
          </w:tcPr>
          <w:p w:rsidR="00CA20E5" w:rsidRPr="00A07506" w:rsidRDefault="00E4050B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A07506" w:rsidRDefault="00DF734D" w:rsidP="00DF7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9855C3" w:rsidRPr="00A07506" w:rsidTr="00BB65B9">
        <w:trPr>
          <w:trHeight w:val="1698"/>
        </w:trPr>
        <w:tc>
          <w:tcPr>
            <w:tcW w:w="529" w:type="dxa"/>
          </w:tcPr>
          <w:p w:rsidR="00C26C19" w:rsidRPr="00A07506" w:rsidRDefault="00B71518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A07506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A07506" w:rsidRDefault="00DF734D" w:rsidP="00DF734D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Уведомление о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 xml:space="preserve">включении (об отказе включения) ярмарки в План проведения ярмарок 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с приложением постановления о </w:t>
            </w:r>
            <w:r w:rsidRPr="00A07506">
              <w:rPr>
                <w:rFonts w:ascii="Times New Roman" w:hAnsi="Times New Roman"/>
                <w:sz w:val="20"/>
                <w:szCs w:val="20"/>
              </w:rPr>
              <w:t>включении (об отказе включения) ярмарки в План проведения ярмарок</w:t>
            </w:r>
            <w:r w:rsidRPr="00A07506">
              <w:rPr>
                <w:rFonts w:ascii="Times New Roman" w:eastAsia="Calibri" w:hAnsi="Times New Roman"/>
                <w:sz w:val="20"/>
                <w:szCs w:val="20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A07506" w:rsidRDefault="00DF734D" w:rsidP="002030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C26C19" w:rsidRPr="00A07506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 w:rsidR="00BB65B9" w:rsidRPr="00A07506">
              <w:rPr>
                <w:rFonts w:ascii="Times New Roman" w:hAnsi="Times New Roman"/>
                <w:sz w:val="20"/>
                <w:szCs w:val="20"/>
              </w:rPr>
              <w:t>, МФЦ</w:t>
            </w:r>
          </w:p>
        </w:tc>
        <w:tc>
          <w:tcPr>
            <w:tcW w:w="1845" w:type="dxa"/>
          </w:tcPr>
          <w:p w:rsidR="00C26C19" w:rsidRPr="00A07506" w:rsidRDefault="009E26A2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A07506" w:rsidRDefault="00DF734D" w:rsidP="007D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</w:tbl>
    <w:p w:rsidR="00001C09" w:rsidRPr="00A07506" w:rsidRDefault="00577FCC" w:rsidP="00577FC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07506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A07506" w:rsidTr="00BB65B9">
        <w:tc>
          <w:tcPr>
            <w:tcW w:w="246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64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53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14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55" w:type="dxa"/>
          </w:tcPr>
          <w:p w:rsidR="00BB65B9" w:rsidRPr="00A07506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075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B65B9" w:rsidRPr="00A07506" w:rsidTr="00BB65B9">
        <w:tc>
          <w:tcPr>
            <w:tcW w:w="246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3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B65B9" w:rsidRPr="00A07506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5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65B9" w:rsidRPr="00A07506" w:rsidTr="00577FCC">
        <w:tc>
          <w:tcPr>
            <w:tcW w:w="14786" w:type="dxa"/>
            <w:gridSpan w:val="7"/>
          </w:tcPr>
          <w:p w:rsidR="00BB65B9" w:rsidRPr="00A07506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506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A0750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07506">
              <w:rPr>
                <w:rFonts w:ascii="Times New Roman" w:hAnsi="Times New Roman" w:cs="Times New Roman"/>
              </w:rPr>
              <w:t xml:space="preserve">»: </w:t>
            </w:r>
            <w:r w:rsidR="00E363A0" w:rsidRPr="00A07506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A07506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5B9" w:rsidRPr="00A07506" w:rsidTr="00BB65B9">
        <w:trPr>
          <w:trHeight w:val="416"/>
        </w:trPr>
        <w:tc>
          <w:tcPr>
            <w:tcW w:w="2460" w:type="dxa"/>
          </w:tcPr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официальный сайт органа, 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B65B9" w:rsidRPr="00A07506" w:rsidRDefault="00BB65B9" w:rsidP="00D65E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D65E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65B9" w:rsidRPr="00A07506" w:rsidRDefault="00BB65B9" w:rsidP="00D65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 xml:space="preserve">    Требуется предоставление заявителем документов на бумажном носителе.</w:t>
            </w: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</w:p>
          <w:p w:rsidR="00BB65B9" w:rsidRPr="00A07506" w:rsidRDefault="00BB65B9" w:rsidP="00B8047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BB65B9" w:rsidRPr="00A07506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BB65B9" w:rsidRPr="00A07506" w:rsidRDefault="00BB65B9" w:rsidP="00B8047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eastAsia="SimSun" w:hAnsi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</w:tcPr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BB65B9" w:rsidRPr="00A07506" w:rsidRDefault="00BB65B9" w:rsidP="00BB6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50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Pr="00A07506" w:rsidRDefault="00C73F08" w:rsidP="00305F2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B65B9" w:rsidRPr="00A07506" w:rsidRDefault="00BB65B9" w:rsidP="00305F22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BB65B9" w:rsidRPr="00A0750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A07506" w:rsidRDefault="00BB65B9" w:rsidP="00305F2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BB65B9" w:rsidRPr="00A07506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44" w:rsidRDefault="00BB7644" w:rsidP="00F847AF">
      <w:pPr>
        <w:spacing w:after="0" w:line="240" w:lineRule="auto"/>
      </w:pPr>
      <w:r>
        <w:separator/>
      </w:r>
    </w:p>
  </w:endnote>
  <w:endnote w:type="continuationSeparator" w:id="0">
    <w:p w:rsidR="00BB7644" w:rsidRDefault="00BB764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44" w:rsidRDefault="00BB7644" w:rsidP="00F847AF">
      <w:pPr>
        <w:spacing w:after="0" w:line="240" w:lineRule="auto"/>
      </w:pPr>
      <w:r>
        <w:separator/>
      </w:r>
    </w:p>
  </w:footnote>
  <w:footnote w:type="continuationSeparator" w:id="0">
    <w:p w:rsidR="00BB7644" w:rsidRDefault="00BB7644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19DA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0F7F7F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36BC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09FC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2C25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A2CBB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1F02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07506"/>
    <w:rsid w:val="00A21681"/>
    <w:rsid w:val="00A25E16"/>
    <w:rsid w:val="00A30529"/>
    <w:rsid w:val="00A31187"/>
    <w:rsid w:val="00A35C50"/>
    <w:rsid w:val="00A3670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5DFC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1272"/>
    <w:rsid w:val="00BB65B9"/>
    <w:rsid w:val="00BB7644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5F06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502F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442F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30C5"/>
    <w:rsid w:val="00F96A75"/>
    <w:rsid w:val="00FA0D64"/>
    <w:rsid w:val="00FA3A81"/>
    <w:rsid w:val="00FA3B32"/>
    <w:rsid w:val="00FA67AE"/>
    <w:rsid w:val="00FB0585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6207"/>
  <w15:docId w15:val="{3D486A89-96AA-4EF3-AA0C-65CD9A82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08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8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9DA7-5B8A-4C6A-99C0-8A6A2333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22</cp:revision>
  <cp:lastPrinted>2024-11-19T04:57:00Z</cp:lastPrinted>
  <dcterms:created xsi:type="dcterms:W3CDTF">2016-11-07T11:27:00Z</dcterms:created>
  <dcterms:modified xsi:type="dcterms:W3CDTF">2024-11-19T04:57:00Z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