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Актуальные вопросы антикоррупционного законодательства в сфере осуществления контроля за расходами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Федеральным законом от 03.08.2018 307-Ф3, вступившим в законную силу 03.08.2018, внесены изменения в отдельные законодательные акты в области противодействия коррупции.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Согласно указанным изменениям, на органы прокуратуры Российской Федерации возложены новые полномочия в сфере осуществления контроля за расходами, в том числе лиц, замещающих (занимающих)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Установлено, что Генеральным прокурором Российской Федерации или подчиненными ему прокурорами принимается решение об осуществлении контроля за расходами лиц, замещавших (занимавших) должности, указанные в п. 1 ч. 1 ст. 2 Федерального закона от 03.12.2012 №230-ФЗ «О контроле за соответствием расходов лиц, замещающих государственные должности, и иных лиц их доходам».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Основанием для принятия такого решения является поступление в органы прокуратуры из государственного органа (органа местного самоуправления) материалов, полученных в ходе осуществления контроля за расходами, в том числе доклада о невозможности завершить такой контроль в связи с освобождением лица от замещаемой (занимаемой) должности или его увольнением.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Кроме того, ряд федеральных законов дополнен нормами, предусматривающими упрощенный порядок применения взысканий за коррупционные правонарушения.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Теперь с согласия государственного (муниципального)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государственного (муниципального) органа по профилактике коррупционных и иных правонарушений о совершении коррупционного правонарушения.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pacing w:val="-10"/>
          <w:sz w:val="28"/>
          <w:szCs w:val="28"/>
        </w:rPr>
        <w:t>Также уточнены порядок участия государственных (муниципальных) служащих, лиц, замещающих муниципальные должности на постоянной основе, в управлении коммерческой или некоммерческой организацией, и круг должностных лиц, которым кредитными организациями выдаются справки о счетах, вкладах и операциях физических лиц.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256D5" w:rsidRDefault="003256D5" w:rsidP="003256D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Старший помощник межрайонного прокурора                                      Р.В. Бойков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A"/>
    <w:rsid w:val="002F6C2C"/>
    <w:rsid w:val="003256D5"/>
    <w:rsid w:val="00C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13C1-B78F-420D-9A1E-1FC4FEC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2024-03-29T10:52:00Z</dcterms:created>
  <dcterms:modified xsi:type="dcterms:W3CDTF">2024-03-29T10:52:00Z</dcterms:modified>
</cp:coreProperties>
</file>