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</w:t>
      </w:r>
      <w:r>
        <w:rPr>
          <w:color w:val="212121"/>
          <w:sz w:val="28"/>
          <w:szCs w:val="28"/>
        </w:rPr>
        <w:lastRenderedPageBreak/>
        <w:t>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Также Федеральным законом от 11.10.2018 №360-ФЗ глава 41 ТК РФ дополнена статьей 262.2, которая предусматривает, что </w:t>
      </w:r>
      <w:r>
        <w:rPr>
          <w:color w:val="212121"/>
          <w:sz w:val="28"/>
          <w:szCs w:val="28"/>
        </w:rPr>
        <w:lastRenderedPageBreak/>
        <w:t>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Новеллы в трудовом законодательстве, регулирующие предоставление гарантий работникам при прохождении диспансеризации,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 также предоставление  ежегодных  оплачиваемых отпусков работникам, имеющим трех и более детей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pacing w:val="-10"/>
          <w:sz w:val="28"/>
          <w:szCs w:val="28"/>
        </w:rPr>
        <w:t>Федеральным законом от 03.10.2018 №353-ФЗ внесены изменения в Трудовой кодекс Российской Федерации. Глава 28 Трудового кодекса Российской Федерации дополнена статьей </w:t>
      </w:r>
      <w:r>
        <w:rPr>
          <w:color w:val="212121"/>
          <w:sz w:val="28"/>
          <w:szCs w:val="28"/>
        </w:rPr>
        <w:t>185.1. «Гарантии работникам при прохождении диспансеризации».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Согласно указанной норме,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предусмотрено, что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Изменения вступили в силу с 1 января 2019 года.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Федеральным законом от 11.10.2018 №360-ФЗ глава 41 ТК РФ дополнена статьей 262.2, которая предусматривает, что работникам,  имеющим 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Указанные нововведения призваны защитить права работников в их взаимоотношениях с работодателем и направлены на улучшение социального статуса работников.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600E6" w:rsidRDefault="000600E6" w:rsidP="000600E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                                      Р.В. Бойков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6"/>
    <w:rsid w:val="000600E6"/>
    <w:rsid w:val="002F6C2C"/>
    <w:rsid w:val="006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AB0B-7DAB-4566-B743-2F4386C7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2024-03-29T10:48:00Z</dcterms:created>
  <dcterms:modified xsi:type="dcterms:W3CDTF">2024-03-29T10:48:00Z</dcterms:modified>
</cp:coreProperties>
</file>